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sz w:val="22"/>
          <w:szCs w:val="22"/>
        </w:rPr>
      </w:pPr>
      <w:r w:rsidRPr="006E632D">
        <w:rPr>
          <w:sz w:val="22"/>
          <w:szCs w:val="22"/>
        </w:rPr>
        <w:t>REPUBLIKA HRVATSKA</w:t>
      </w:r>
    </w:p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sz w:val="22"/>
          <w:szCs w:val="22"/>
        </w:rPr>
      </w:pPr>
      <w:r w:rsidRPr="006E632D">
        <w:rPr>
          <w:sz w:val="22"/>
          <w:szCs w:val="22"/>
        </w:rPr>
        <w:t>KOPRIVNIČKO-KRIŽEVAČKA ŽUPANIJA</w:t>
      </w:r>
    </w:p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b/>
          <w:bCs/>
          <w:sz w:val="22"/>
          <w:szCs w:val="22"/>
        </w:rPr>
      </w:pPr>
      <w:r w:rsidRPr="006E632D">
        <w:rPr>
          <w:b/>
          <w:bCs/>
          <w:sz w:val="22"/>
          <w:szCs w:val="22"/>
        </w:rPr>
        <w:t>OSNOVNA ŠKOLA LEGRAD</w:t>
      </w:r>
    </w:p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b/>
          <w:bCs/>
          <w:sz w:val="22"/>
          <w:szCs w:val="22"/>
        </w:rPr>
      </w:pPr>
      <w:r w:rsidRPr="006E632D">
        <w:rPr>
          <w:b/>
          <w:bCs/>
          <w:sz w:val="22"/>
          <w:szCs w:val="22"/>
        </w:rPr>
        <w:t>L E G R A D</w:t>
      </w:r>
    </w:p>
    <w:p w:rsidR="00DE0A8B" w:rsidRPr="006E632D" w:rsidRDefault="006D2047" w:rsidP="006E632D">
      <w:pPr>
        <w:tabs>
          <w:tab w:val="left" w:pos="4253"/>
          <w:tab w:val="left" w:pos="4395"/>
          <w:tab w:val="left" w:pos="4680"/>
        </w:tabs>
        <w:ind w:right="4720"/>
        <w:rPr>
          <w:sz w:val="22"/>
          <w:szCs w:val="22"/>
        </w:rPr>
      </w:pPr>
      <w:r w:rsidRPr="006E632D">
        <w:rPr>
          <w:sz w:val="22"/>
          <w:szCs w:val="22"/>
        </w:rPr>
        <w:t>Petra Zrinskog 10</w:t>
      </w:r>
      <w:r w:rsidR="00FE3006" w:rsidRPr="006E632D">
        <w:rPr>
          <w:sz w:val="22"/>
          <w:szCs w:val="22"/>
        </w:rPr>
        <w:t xml:space="preserve">, </w:t>
      </w:r>
      <w:r w:rsidR="00DE0A8B" w:rsidRPr="006E632D">
        <w:rPr>
          <w:sz w:val="22"/>
          <w:szCs w:val="22"/>
        </w:rPr>
        <w:t>Legrad</w:t>
      </w:r>
      <w:r w:rsidR="00FE3006" w:rsidRPr="006E632D">
        <w:rPr>
          <w:sz w:val="22"/>
          <w:szCs w:val="22"/>
        </w:rPr>
        <w:t>, 48316 Đelekovec</w:t>
      </w:r>
    </w:p>
    <w:p w:rsidR="00B772CE" w:rsidRPr="006E632D" w:rsidRDefault="00B772CE" w:rsidP="006E632D">
      <w:pPr>
        <w:tabs>
          <w:tab w:val="left" w:pos="4253"/>
          <w:tab w:val="left" w:pos="4395"/>
          <w:tab w:val="left" w:pos="4680"/>
        </w:tabs>
        <w:ind w:right="4720"/>
        <w:rPr>
          <w:sz w:val="22"/>
          <w:szCs w:val="22"/>
        </w:rPr>
      </w:pPr>
      <w:r w:rsidRPr="006E632D">
        <w:rPr>
          <w:sz w:val="22"/>
          <w:szCs w:val="22"/>
        </w:rPr>
        <w:t xml:space="preserve">Tel.: </w:t>
      </w:r>
      <w:r w:rsidR="00A77DEC" w:rsidRPr="006E632D">
        <w:rPr>
          <w:sz w:val="22"/>
          <w:szCs w:val="22"/>
        </w:rPr>
        <w:t>048</w:t>
      </w:r>
      <w:r w:rsidR="000D5642" w:rsidRPr="006E632D">
        <w:rPr>
          <w:sz w:val="22"/>
          <w:szCs w:val="22"/>
        </w:rPr>
        <w:t xml:space="preserve"> </w:t>
      </w:r>
      <w:r w:rsidR="00961DD6" w:rsidRPr="006E632D">
        <w:rPr>
          <w:sz w:val="22"/>
          <w:szCs w:val="22"/>
        </w:rPr>
        <w:t>222-172,</w:t>
      </w:r>
      <w:r w:rsidRPr="006E632D">
        <w:rPr>
          <w:sz w:val="22"/>
          <w:szCs w:val="22"/>
        </w:rPr>
        <w:t xml:space="preserve"> </w:t>
      </w:r>
      <w:r w:rsidR="00A77DEC" w:rsidRPr="006E632D">
        <w:rPr>
          <w:sz w:val="22"/>
          <w:szCs w:val="22"/>
        </w:rPr>
        <w:t>048</w:t>
      </w:r>
      <w:r w:rsidR="000D5642" w:rsidRPr="006E632D">
        <w:rPr>
          <w:sz w:val="22"/>
          <w:szCs w:val="22"/>
        </w:rPr>
        <w:t xml:space="preserve"> </w:t>
      </w:r>
      <w:r w:rsidRPr="006E632D">
        <w:rPr>
          <w:sz w:val="22"/>
          <w:szCs w:val="22"/>
        </w:rPr>
        <w:t>835-011</w:t>
      </w:r>
      <w:r w:rsidR="000D5642" w:rsidRPr="006E632D">
        <w:rPr>
          <w:sz w:val="22"/>
          <w:szCs w:val="22"/>
        </w:rPr>
        <w:t>, 048 220 493</w:t>
      </w:r>
    </w:p>
    <w:p w:rsidR="00DE0A8B" w:rsidRPr="006E632D" w:rsidRDefault="006B0793" w:rsidP="006E632D">
      <w:pPr>
        <w:tabs>
          <w:tab w:val="left" w:pos="4253"/>
          <w:tab w:val="left" w:pos="4395"/>
        </w:tabs>
        <w:ind w:right="4720"/>
        <w:rPr>
          <w:sz w:val="22"/>
          <w:szCs w:val="22"/>
        </w:rPr>
      </w:pPr>
      <w:r w:rsidRPr="006E632D">
        <w:rPr>
          <w:sz w:val="22"/>
          <w:szCs w:val="22"/>
        </w:rPr>
        <w:t xml:space="preserve">  </w:t>
      </w:r>
      <w:r w:rsidR="00FE3006" w:rsidRPr="006E632D">
        <w:rPr>
          <w:sz w:val="22"/>
          <w:szCs w:val="22"/>
        </w:rPr>
        <w:t xml:space="preserve">       </w:t>
      </w:r>
      <w:r w:rsidRPr="006E632D">
        <w:rPr>
          <w:sz w:val="22"/>
          <w:szCs w:val="22"/>
        </w:rPr>
        <w:t xml:space="preserve">   e-mail: </w:t>
      </w:r>
      <w:hyperlink r:id="rId8" w:history="1">
        <w:r w:rsidR="00A77DEC" w:rsidRPr="006E632D">
          <w:rPr>
            <w:rStyle w:val="Hiperveza"/>
            <w:sz w:val="22"/>
            <w:szCs w:val="22"/>
          </w:rPr>
          <w:t>ured@os-legrad.skole.hr</w:t>
        </w:r>
      </w:hyperlink>
      <w:r w:rsidRPr="006E632D">
        <w:rPr>
          <w:sz w:val="22"/>
          <w:szCs w:val="22"/>
        </w:rPr>
        <w:t xml:space="preserve"> </w:t>
      </w:r>
    </w:p>
    <w:p w:rsidR="006B0793" w:rsidRPr="006E632D" w:rsidRDefault="006B0793"/>
    <w:p w:rsidR="00DE0A8B" w:rsidRPr="006E632D" w:rsidRDefault="00DE0A8B">
      <w:pPr>
        <w:rPr>
          <w:sz w:val="22"/>
          <w:szCs w:val="22"/>
        </w:rPr>
      </w:pPr>
      <w:r w:rsidRPr="006E632D">
        <w:rPr>
          <w:sz w:val="22"/>
          <w:szCs w:val="22"/>
        </w:rPr>
        <w:t>KLASA:</w:t>
      </w:r>
      <w:r w:rsidRPr="006E632D">
        <w:rPr>
          <w:sz w:val="22"/>
          <w:szCs w:val="22"/>
        </w:rPr>
        <w:tab/>
      </w:r>
      <w:r w:rsidR="00D83D4B" w:rsidRPr="006E632D">
        <w:rPr>
          <w:sz w:val="22"/>
          <w:szCs w:val="22"/>
        </w:rPr>
        <w:t>400-0</w:t>
      </w:r>
      <w:r w:rsidR="00894025" w:rsidRPr="006E632D">
        <w:rPr>
          <w:sz w:val="22"/>
          <w:szCs w:val="22"/>
        </w:rPr>
        <w:t>1</w:t>
      </w:r>
      <w:r w:rsidR="00D83D4B" w:rsidRPr="006E632D">
        <w:rPr>
          <w:sz w:val="22"/>
          <w:szCs w:val="22"/>
        </w:rPr>
        <w:t>/</w:t>
      </w:r>
      <w:r w:rsidR="000D5642" w:rsidRPr="006E632D">
        <w:rPr>
          <w:sz w:val="22"/>
          <w:szCs w:val="22"/>
        </w:rPr>
        <w:t>2</w:t>
      </w:r>
      <w:r w:rsidR="00D9161F">
        <w:rPr>
          <w:sz w:val="22"/>
          <w:szCs w:val="22"/>
        </w:rPr>
        <w:t>4</w:t>
      </w:r>
      <w:r w:rsidR="00AB34B5" w:rsidRPr="006E632D">
        <w:rPr>
          <w:sz w:val="22"/>
          <w:szCs w:val="22"/>
        </w:rPr>
        <w:t>-01/</w:t>
      </w:r>
      <w:r w:rsidR="00006F14">
        <w:rPr>
          <w:sz w:val="22"/>
          <w:szCs w:val="22"/>
        </w:rPr>
        <w:t>7</w:t>
      </w:r>
    </w:p>
    <w:p w:rsidR="00DE0A8B" w:rsidRPr="006E632D" w:rsidRDefault="00B772CE">
      <w:pPr>
        <w:rPr>
          <w:sz w:val="22"/>
          <w:szCs w:val="22"/>
        </w:rPr>
      </w:pPr>
      <w:r w:rsidRPr="006E632D">
        <w:rPr>
          <w:sz w:val="22"/>
          <w:szCs w:val="22"/>
        </w:rPr>
        <w:t>UR</w:t>
      </w:r>
      <w:r w:rsidR="00DE0A8B" w:rsidRPr="006E632D">
        <w:rPr>
          <w:sz w:val="22"/>
          <w:szCs w:val="22"/>
        </w:rPr>
        <w:t>BROJ:</w:t>
      </w:r>
      <w:r w:rsidR="00DE0A8B" w:rsidRPr="006E632D">
        <w:rPr>
          <w:sz w:val="22"/>
          <w:szCs w:val="22"/>
        </w:rPr>
        <w:tab/>
      </w:r>
      <w:r w:rsidR="00AB34B5" w:rsidRPr="006E632D">
        <w:rPr>
          <w:sz w:val="22"/>
          <w:szCs w:val="22"/>
        </w:rPr>
        <w:t>2137-34-</w:t>
      </w:r>
      <w:r w:rsidR="00894025" w:rsidRPr="006E632D">
        <w:rPr>
          <w:sz w:val="22"/>
          <w:szCs w:val="22"/>
        </w:rPr>
        <w:t>01-</w:t>
      </w:r>
      <w:r w:rsidR="000D5642" w:rsidRPr="006E632D">
        <w:rPr>
          <w:sz w:val="22"/>
          <w:szCs w:val="22"/>
        </w:rPr>
        <w:t>2</w:t>
      </w:r>
      <w:r w:rsidR="00D9161F">
        <w:rPr>
          <w:sz w:val="22"/>
          <w:szCs w:val="22"/>
        </w:rPr>
        <w:t>4</w:t>
      </w:r>
      <w:r w:rsidR="003758D3" w:rsidRPr="006E632D">
        <w:rPr>
          <w:sz w:val="22"/>
          <w:szCs w:val="22"/>
        </w:rPr>
        <w:t>-</w:t>
      </w:r>
      <w:r w:rsidR="00006F14">
        <w:rPr>
          <w:sz w:val="22"/>
          <w:szCs w:val="22"/>
        </w:rPr>
        <w:t>2</w:t>
      </w:r>
    </w:p>
    <w:p w:rsidR="00DE0A8B" w:rsidRPr="006E632D" w:rsidRDefault="00DE0A8B">
      <w:pPr>
        <w:rPr>
          <w:sz w:val="22"/>
          <w:szCs w:val="22"/>
        </w:rPr>
      </w:pPr>
      <w:r w:rsidRPr="006E632D">
        <w:rPr>
          <w:sz w:val="22"/>
          <w:szCs w:val="22"/>
        </w:rPr>
        <w:t xml:space="preserve">Legrad, </w:t>
      </w:r>
      <w:r w:rsidRPr="006E632D">
        <w:rPr>
          <w:sz w:val="22"/>
          <w:szCs w:val="22"/>
        </w:rPr>
        <w:tab/>
      </w:r>
      <w:r w:rsidR="000120A0">
        <w:rPr>
          <w:sz w:val="22"/>
          <w:szCs w:val="22"/>
        </w:rPr>
        <w:t>1</w:t>
      </w:r>
      <w:r w:rsidR="00545350">
        <w:rPr>
          <w:sz w:val="22"/>
          <w:szCs w:val="22"/>
        </w:rPr>
        <w:t>8</w:t>
      </w:r>
      <w:r w:rsidR="000120A0">
        <w:rPr>
          <w:sz w:val="22"/>
          <w:szCs w:val="22"/>
        </w:rPr>
        <w:t>.1</w:t>
      </w:r>
      <w:r w:rsidR="00545350">
        <w:rPr>
          <w:sz w:val="22"/>
          <w:szCs w:val="22"/>
        </w:rPr>
        <w:t>2</w:t>
      </w:r>
      <w:r w:rsidR="000120A0">
        <w:rPr>
          <w:sz w:val="22"/>
          <w:szCs w:val="22"/>
        </w:rPr>
        <w:t>.202</w:t>
      </w:r>
      <w:r w:rsidR="00D9161F">
        <w:rPr>
          <w:sz w:val="22"/>
          <w:szCs w:val="22"/>
        </w:rPr>
        <w:t>4</w:t>
      </w:r>
      <w:r w:rsidR="000120A0">
        <w:rPr>
          <w:sz w:val="22"/>
          <w:szCs w:val="22"/>
        </w:rPr>
        <w:t>.</w:t>
      </w:r>
    </w:p>
    <w:p w:rsidR="00A40999" w:rsidRPr="006E632D" w:rsidRDefault="00A40999"/>
    <w:p w:rsidR="00FC1CAB" w:rsidRPr="006E632D" w:rsidRDefault="00FC1CAB" w:rsidP="00FC1CAB">
      <w:pPr>
        <w:jc w:val="center"/>
        <w:rPr>
          <w:b/>
        </w:rPr>
      </w:pPr>
      <w:r w:rsidRPr="006E632D">
        <w:rPr>
          <w:b/>
        </w:rPr>
        <w:t>OBRAZLOŽENJE</w:t>
      </w:r>
    </w:p>
    <w:p w:rsidR="00FE3006" w:rsidRPr="006E632D" w:rsidRDefault="00A77DEC" w:rsidP="00C911F7">
      <w:pPr>
        <w:jc w:val="center"/>
        <w:rPr>
          <w:b/>
        </w:rPr>
      </w:pPr>
      <w:r w:rsidRPr="006E632D">
        <w:rPr>
          <w:b/>
        </w:rPr>
        <w:t xml:space="preserve">FINANCIJSKOG PLANA </w:t>
      </w:r>
      <w:r w:rsidR="00FE3006" w:rsidRPr="006E632D">
        <w:rPr>
          <w:b/>
        </w:rPr>
        <w:t>OSNOVNE ŠKOLE LEGRAD</w:t>
      </w:r>
    </w:p>
    <w:p w:rsidR="00FC1CAB" w:rsidRPr="006E632D" w:rsidRDefault="00A77DEC" w:rsidP="00FC1CAB">
      <w:pPr>
        <w:jc w:val="center"/>
        <w:rPr>
          <w:b/>
        </w:rPr>
      </w:pPr>
      <w:r w:rsidRPr="006E632D">
        <w:rPr>
          <w:b/>
        </w:rPr>
        <w:t xml:space="preserve">ZA </w:t>
      </w:r>
      <w:r w:rsidR="00894025" w:rsidRPr="006E632D">
        <w:rPr>
          <w:b/>
        </w:rPr>
        <w:t>202</w:t>
      </w:r>
      <w:r w:rsidR="00F51E27">
        <w:rPr>
          <w:b/>
        </w:rPr>
        <w:t>5</w:t>
      </w:r>
      <w:r w:rsidR="00894025" w:rsidRPr="006E632D">
        <w:rPr>
          <w:b/>
        </w:rPr>
        <w:t>. GODINU I PROJEKCIJE  ZA 202</w:t>
      </w:r>
      <w:r w:rsidR="00F51E27">
        <w:rPr>
          <w:b/>
        </w:rPr>
        <w:t>6</w:t>
      </w:r>
      <w:r w:rsidR="00894025" w:rsidRPr="006E632D">
        <w:rPr>
          <w:b/>
        </w:rPr>
        <w:t xml:space="preserve">. I </w:t>
      </w:r>
      <w:r w:rsidR="0026439B" w:rsidRPr="006E632D">
        <w:rPr>
          <w:b/>
        </w:rPr>
        <w:t>202</w:t>
      </w:r>
      <w:r w:rsidR="00F51E27">
        <w:rPr>
          <w:b/>
        </w:rPr>
        <w:t>7</w:t>
      </w:r>
      <w:r w:rsidR="00176C72" w:rsidRPr="006E632D">
        <w:rPr>
          <w:b/>
        </w:rPr>
        <w:t>. G</w:t>
      </w:r>
      <w:r w:rsidR="00894025" w:rsidRPr="006E632D">
        <w:rPr>
          <w:b/>
        </w:rPr>
        <w:t>ODINU</w:t>
      </w:r>
    </w:p>
    <w:p w:rsidR="00FC1CAB" w:rsidRPr="006E632D" w:rsidRDefault="00FC1CAB"/>
    <w:p w:rsidR="00CC4173" w:rsidRPr="006E632D" w:rsidRDefault="00CC4173"/>
    <w:p w:rsidR="00FC1CAB" w:rsidRPr="006E632D" w:rsidRDefault="00FC1CAB" w:rsidP="00FC1CAB">
      <w:pPr>
        <w:ind w:firstLine="708"/>
        <w:rPr>
          <w:b/>
        </w:rPr>
      </w:pPr>
      <w:r w:rsidRPr="006E632D">
        <w:rPr>
          <w:b/>
        </w:rPr>
        <w:t>SAŽETAK DJELOKRUGA RADA ŠKOLE</w:t>
      </w:r>
    </w:p>
    <w:p w:rsidR="00FC1CAB" w:rsidRPr="006E632D" w:rsidRDefault="00FC1CAB" w:rsidP="00FC1CAB">
      <w:pPr>
        <w:ind w:firstLine="708"/>
      </w:pPr>
    </w:p>
    <w:p w:rsidR="00FC1CAB" w:rsidRPr="006E632D" w:rsidRDefault="00FC1CAB" w:rsidP="00FC1CAB">
      <w:pPr>
        <w:jc w:val="both"/>
      </w:pPr>
      <w:r w:rsidRPr="006E632D">
        <w:tab/>
        <w:t>Osnovna škola Legrad (u daljem tekstu: Škola) obavlja javnu djelatnost sukladno Zakonu o odgoju i obrazovanju u osnovnoj i srednjoj školi. U Školi se izvodi redovna, izborna, dodatna nastava, dopunska nastava i izvannastavne aktivnosti sukladno Nastavnom planu i programu, Godišnjem planu i programu rada Škole, te Školskom kurikulu</w:t>
      </w:r>
      <w:r w:rsidR="00176C72" w:rsidRPr="006E632D">
        <w:t>mu.</w:t>
      </w:r>
    </w:p>
    <w:p w:rsidR="00FC1CAB" w:rsidRPr="006E632D" w:rsidRDefault="00176C72" w:rsidP="00FC1CAB">
      <w:pPr>
        <w:jc w:val="both"/>
      </w:pPr>
      <w:r w:rsidRPr="006E632D">
        <w:tab/>
        <w:t xml:space="preserve">Školu </w:t>
      </w:r>
      <w:r w:rsidR="0026439B" w:rsidRPr="006E632D">
        <w:t>u šk. godini 20</w:t>
      </w:r>
      <w:r w:rsidR="007C39E0" w:rsidRPr="006E632D">
        <w:t>2</w:t>
      </w:r>
      <w:r w:rsidR="00F51E27">
        <w:t>4</w:t>
      </w:r>
      <w:r w:rsidR="0026439B" w:rsidRPr="006E632D">
        <w:t>./202</w:t>
      </w:r>
      <w:r w:rsidR="00F51E27">
        <w:t>5</w:t>
      </w:r>
      <w:r w:rsidR="00360265" w:rsidRPr="006E632D">
        <w:t xml:space="preserve">. </w:t>
      </w:r>
      <w:r w:rsidR="00817766" w:rsidRPr="006E632D">
        <w:t xml:space="preserve">na dan </w:t>
      </w:r>
      <w:r w:rsidR="00743D6A">
        <w:t>1</w:t>
      </w:r>
      <w:r w:rsidR="00817766" w:rsidRPr="006E632D">
        <w:t>3.1</w:t>
      </w:r>
      <w:r w:rsidR="00D9161F">
        <w:t>1</w:t>
      </w:r>
      <w:r w:rsidR="00817766" w:rsidRPr="006E632D">
        <w:t>.202</w:t>
      </w:r>
      <w:r w:rsidR="00D9161F">
        <w:t>4</w:t>
      </w:r>
      <w:r w:rsidR="00817766" w:rsidRPr="006E632D">
        <w:t xml:space="preserve">. </w:t>
      </w:r>
      <w:r w:rsidR="0026439B" w:rsidRPr="006E632D">
        <w:t>pohađa 1</w:t>
      </w:r>
      <w:r w:rsidR="00D9161F">
        <w:t>10</w:t>
      </w:r>
      <w:r w:rsidRPr="006E632D">
        <w:t xml:space="preserve"> učenika raspoređenih u 1</w:t>
      </w:r>
      <w:r w:rsidR="0026439B" w:rsidRPr="006E632D">
        <w:t>1</w:t>
      </w:r>
      <w:r w:rsidR="00FC1CAB" w:rsidRPr="006E632D">
        <w:t xml:space="preserve"> razrednih odjela i to:</w:t>
      </w:r>
    </w:p>
    <w:p w:rsidR="00FC1CAB" w:rsidRPr="006E632D" w:rsidRDefault="00FC1CAB" w:rsidP="00FC1CAB">
      <w:pPr>
        <w:pStyle w:val="Odlomakpopisa"/>
        <w:numPr>
          <w:ilvl w:val="0"/>
          <w:numId w:val="1"/>
        </w:numPr>
        <w:jc w:val="both"/>
      </w:pPr>
      <w:r w:rsidRPr="006E632D">
        <w:t>4 razredna odjela predmetne nastave u Matičnoj školi Legrad</w:t>
      </w:r>
    </w:p>
    <w:p w:rsidR="00FC1CAB" w:rsidRPr="006E632D" w:rsidRDefault="00FC1CAB" w:rsidP="00FC1CAB">
      <w:pPr>
        <w:pStyle w:val="Odlomakpopisa"/>
        <w:numPr>
          <w:ilvl w:val="0"/>
          <w:numId w:val="1"/>
        </w:numPr>
        <w:jc w:val="both"/>
      </w:pPr>
      <w:r w:rsidRPr="006E632D">
        <w:t>4 razredna odjela razredne nastave u Matičnoj školi Legrad</w:t>
      </w:r>
    </w:p>
    <w:p w:rsidR="00FC1CAB" w:rsidRPr="006E632D" w:rsidRDefault="00FC1CAB" w:rsidP="00FC1CAB">
      <w:pPr>
        <w:pStyle w:val="Odlomakpopisa"/>
        <w:numPr>
          <w:ilvl w:val="0"/>
          <w:numId w:val="1"/>
        </w:numPr>
        <w:jc w:val="both"/>
      </w:pPr>
      <w:r w:rsidRPr="006E632D">
        <w:t>1 kombinirani razredni odjel razredne nastave u PŠ Veliki Otok</w:t>
      </w:r>
    </w:p>
    <w:p w:rsidR="00FC1CAB" w:rsidRPr="006E632D" w:rsidRDefault="00FE3006" w:rsidP="00FC1CAB">
      <w:pPr>
        <w:pStyle w:val="Odlomakpopisa"/>
        <w:numPr>
          <w:ilvl w:val="0"/>
          <w:numId w:val="1"/>
        </w:numPr>
        <w:jc w:val="both"/>
      </w:pPr>
      <w:r w:rsidRPr="006E632D">
        <w:t xml:space="preserve">1 </w:t>
      </w:r>
      <w:r w:rsidR="00FC1CAB" w:rsidRPr="006E632D">
        <w:t xml:space="preserve">kombinirani razredni odjel razredne nastave u PŠ Podravska </w:t>
      </w:r>
      <w:proofErr w:type="spellStart"/>
      <w:r w:rsidR="00FC1CAB" w:rsidRPr="006E632D">
        <w:t>Selnica</w:t>
      </w:r>
      <w:proofErr w:type="spellEnd"/>
    </w:p>
    <w:p w:rsidR="00176C72" w:rsidRPr="006E632D" w:rsidRDefault="00176C72" w:rsidP="00FC1CAB">
      <w:pPr>
        <w:pStyle w:val="Odlomakpopisa"/>
        <w:numPr>
          <w:ilvl w:val="0"/>
          <w:numId w:val="1"/>
        </w:numPr>
        <w:jc w:val="both"/>
      </w:pPr>
      <w:r w:rsidRPr="006E632D">
        <w:t>1 kombinirani razredni odjel razredne nastave u PŠ Kutnjak.</w:t>
      </w:r>
    </w:p>
    <w:p w:rsidR="0026439B" w:rsidRPr="006E632D" w:rsidRDefault="00FC1CAB" w:rsidP="0026439B">
      <w:pPr>
        <w:ind w:left="705"/>
        <w:jc w:val="both"/>
      </w:pPr>
      <w:r w:rsidRPr="006E632D">
        <w:t xml:space="preserve">Nastava </w:t>
      </w:r>
      <w:r w:rsidR="00EE739E" w:rsidRPr="006E632D">
        <w:t>je organizirana u petodnevnom radnom tjednu. U  Matičnoj školi</w:t>
      </w:r>
      <w:r w:rsidR="0026439B" w:rsidRPr="006E632D">
        <w:t xml:space="preserve"> i </w:t>
      </w:r>
    </w:p>
    <w:p w:rsidR="00EE739E" w:rsidRPr="006E632D" w:rsidRDefault="0026439B" w:rsidP="0026439B">
      <w:pPr>
        <w:jc w:val="both"/>
      </w:pPr>
      <w:r w:rsidRPr="006E632D">
        <w:t xml:space="preserve">svim područnim školama </w:t>
      </w:r>
      <w:r w:rsidR="0062344C" w:rsidRPr="006E632D">
        <w:t xml:space="preserve">nastava se odvija </w:t>
      </w:r>
      <w:r w:rsidR="00EE739E" w:rsidRPr="006E632D">
        <w:t>u jednoj smjeni (jutarnjoj)</w:t>
      </w:r>
      <w:r w:rsidRPr="006E632D">
        <w:t>.</w:t>
      </w:r>
    </w:p>
    <w:p w:rsidR="0026439B" w:rsidRPr="006E632D" w:rsidRDefault="0026439B" w:rsidP="0026439B">
      <w:pPr>
        <w:jc w:val="both"/>
      </w:pPr>
    </w:p>
    <w:p w:rsidR="00FC1CAB" w:rsidRPr="006E632D" w:rsidRDefault="00EE739E">
      <w:pPr>
        <w:rPr>
          <w:b/>
        </w:rPr>
      </w:pPr>
      <w:r w:rsidRPr="006E632D">
        <w:tab/>
      </w:r>
      <w:r w:rsidRPr="006E632D">
        <w:rPr>
          <w:b/>
        </w:rPr>
        <w:t>OBRAZLOŽENJE PROGRAMA RADA ŠKOLE</w:t>
      </w:r>
    </w:p>
    <w:p w:rsidR="00EE739E" w:rsidRPr="006E632D" w:rsidRDefault="00EE739E"/>
    <w:p w:rsidR="00EE739E" w:rsidRPr="006E632D" w:rsidRDefault="00EE739E">
      <w:r w:rsidRPr="006E632D">
        <w:tab/>
        <w:t>Prioritet Škole je kvalitetno obrazovanje i odgoj učenika što se ostvaruje: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stalnim usavršavanjem učitelja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poticanjem učenika na izražavanje kreativnosti, talenata i sposobnosti kroz uključivanje u slobodne aktivnosti, natjecanja, prijave na literarne i likovne natječaje, školske p</w:t>
      </w:r>
      <w:r w:rsidR="00817766" w:rsidRPr="006E632D">
        <w:t>r</w:t>
      </w:r>
      <w:r w:rsidRPr="006E632D">
        <w:t>ojekte, priredbe i manifestacije u Školi i šire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organiziranjem zajedničkih aktivnosti učenika i nastavnika tijekom izvannastavnih aktivnosti i druženja kroz kolektivno upoznavanje kulturne i duhovne baštine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poticanjem razvoja pozitivnih vrijednosti</w:t>
      </w:r>
    </w:p>
    <w:p w:rsidR="00EE739E" w:rsidRPr="006E632D" w:rsidRDefault="00EE739E"/>
    <w:p w:rsidR="00FC1CAB" w:rsidRPr="006E632D" w:rsidRDefault="00CC4173" w:rsidP="00CC4173">
      <w:pPr>
        <w:ind w:left="705"/>
        <w:rPr>
          <w:b/>
        </w:rPr>
      </w:pPr>
      <w:r w:rsidRPr="006E632D">
        <w:rPr>
          <w:b/>
        </w:rPr>
        <w:t xml:space="preserve">ZAKONSKE I DRUGE PODLOGE </w:t>
      </w:r>
      <w:r w:rsidR="006E632D">
        <w:rPr>
          <w:b/>
        </w:rPr>
        <w:t>ZA PROVEDBU</w:t>
      </w:r>
      <w:r w:rsidRPr="006E632D">
        <w:rPr>
          <w:b/>
        </w:rPr>
        <w:t xml:space="preserve"> PROGRAM</w:t>
      </w:r>
      <w:r w:rsidR="006E632D">
        <w:rPr>
          <w:b/>
        </w:rPr>
        <w:t>A</w:t>
      </w:r>
    </w:p>
    <w:p w:rsidR="00CC4173" w:rsidRPr="006E632D" w:rsidRDefault="00CC4173"/>
    <w:p w:rsidR="00CC4173" w:rsidRPr="006E632D" w:rsidRDefault="00CC4173" w:rsidP="00CC4173">
      <w:pPr>
        <w:pStyle w:val="Odlomakpopisa"/>
        <w:numPr>
          <w:ilvl w:val="0"/>
          <w:numId w:val="1"/>
        </w:numPr>
      </w:pPr>
      <w:r w:rsidRPr="006E632D">
        <w:t>Zakon o odgoju i obrazovanju u osnovnoj i srednjoj školi (Na</w:t>
      </w:r>
      <w:r w:rsidR="00006F14">
        <w:t>r</w:t>
      </w:r>
      <w:r w:rsidRPr="006E632D">
        <w:t>odne novine broj 87/08</w:t>
      </w:r>
      <w:r w:rsidR="007C39E0" w:rsidRPr="006E632D">
        <w:t>.</w:t>
      </w:r>
      <w:r w:rsidRPr="006E632D">
        <w:t>, 86/09</w:t>
      </w:r>
      <w:r w:rsidR="007C39E0" w:rsidRPr="006E632D">
        <w:t>.</w:t>
      </w:r>
      <w:r w:rsidRPr="006E632D">
        <w:t>, 92/10</w:t>
      </w:r>
      <w:r w:rsidR="007C39E0" w:rsidRPr="006E632D">
        <w:t>.</w:t>
      </w:r>
      <w:r w:rsidRPr="006E632D">
        <w:t>, 105/10</w:t>
      </w:r>
      <w:r w:rsidR="007C39E0" w:rsidRPr="006E632D">
        <w:t>.</w:t>
      </w:r>
      <w:r w:rsidRPr="006E632D">
        <w:t>,</w:t>
      </w:r>
      <w:r w:rsidR="00AB34B5" w:rsidRPr="006E632D">
        <w:t xml:space="preserve"> 90/11</w:t>
      </w:r>
      <w:r w:rsidR="007C39E0" w:rsidRPr="006E632D">
        <w:t>.</w:t>
      </w:r>
      <w:r w:rsidR="00AB34B5" w:rsidRPr="006E632D">
        <w:t>, 16/12</w:t>
      </w:r>
      <w:r w:rsidR="007C39E0" w:rsidRPr="006E632D">
        <w:t>.</w:t>
      </w:r>
      <w:r w:rsidR="00AB34B5" w:rsidRPr="006E632D">
        <w:t>, 86/1</w:t>
      </w:r>
      <w:r w:rsidR="001E2237" w:rsidRPr="006E632D">
        <w:t>2</w:t>
      </w:r>
      <w:r w:rsidR="007C39E0" w:rsidRPr="006E632D">
        <w:t>.</w:t>
      </w:r>
      <w:r w:rsidR="001E2237" w:rsidRPr="006E632D">
        <w:t>, 126/12</w:t>
      </w:r>
      <w:r w:rsidR="007C39E0" w:rsidRPr="006E632D">
        <w:t>.</w:t>
      </w:r>
      <w:r w:rsidR="001E2237" w:rsidRPr="006E632D">
        <w:t xml:space="preserve"> – pročišćeni tekst , </w:t>
      </w:r>
      <w:r w:rsidR="00AB34B5" w:rsidRPr="006E632D">
        <w:t>94/13</w:t>
      </w:r>
      <w:r w:rsidR="007C39E0" w:rsidRPr="006E632D">
        <w:t>.</w:t>
      </w:r>
      <w:r w:rsidR="00C73ABE" w:rsidRPr="006E632D">
        <w:t xml:space="preserve">, </w:t>
      </w:r>
      <w:r w:rsidR="001E2237" w:rsidRPr="006E632D">
        <w:t>152/14</w:t>
      </w:r>
      <w:r w:rsidR="007C39E0" w:rsidRPr="006E632D">
        <w:t>.</w:t>
      </w:r>
      <w:r w:rsidR="00E055B5" w:rsidRPr="006E632D">
        <w:t xml:space="preserve">, </w:t>
      </w:r>
      <w:r w:rsidR="00C73ABE" w:rsidRPr="006E632D">
        <w:t>7/17</w:t>
      </w:r>
      <w:r w:rsidR="007C39E0" w:rsidRPr="006E632D">
        <w:t>.</w:t>
      </w:r>
      <w:r w:rsidR="0026439B" w:rsidRPr="006E632D">
        <w:t>,</w:t>
      </w:r>
      <w:r w:rsidR="00E055B5" w:rsidRPr="006E632D">
        <w:t xml:space="preserve"> 68/18</w:t>
      </w:r>
      <w:r w:rsidR="007C39E0" w:rsidRPr="006E632D">
        <w:t>.,</w:t>
      </w:r>
      <w:r w:rsidR="0026439B" w:rsidRPr="006E632D">
        <w:t xml:space="preserve"> 98/19</w:t>
      </w:r>
      <w:r w:rsidR="007C39E0" w:rsidRPr="006E632D">
        <w:t>.</w:t>
      </w:r>
      <w:r w:rsidR="00945FF0">
        <w:t>,</w:t>
      </w:r>
      <w:r w:rsidR="007C39E0" w:rsidRPr="006E632D">
        <w:t xml:space="preserve">  64/20.</w:t>
      </w:r>
      <w:r w:rsidR="00945FF0">
        <w:t>, 151/22., 155/23. i 156/23.</w:t>
      </w:r>
      <w:r w:rsidR="007C39E0" w:rsidRPr="006E632D">
        <w:t>)</w:t>
      </w:r>
    </w:p>
    <w:p w:rsidR="00CC4173" w:rsidRPr="006E632D" w:rsidRDefault="00CC4173" w:rsidP="00CC4173">
      <w:pPr>
        <w:pStyle w:val="Odlomakpopisa"/>
        <w:numPr>
          <w:ilvl w:val="0"/>
          <w:numId w:val="1"/>
        </w:numPr>
      </w:pPr>
      <w:r w:rsidRPr="006E632D">
        <w:t>Zakon o ustanovama (Narodne novine broj 76/93</w:t>
      </w:r>
      <w:r w:rsidR="007C39E0" w:rsidRPr="006E632D">
        <w:t>.</w:t>
      </w:r>
      <w:r w:rsidRPr="006E632D">
        <w:t>, 29/97</w:t>
      </w:r>
      <w:r w:rsidR="007C39E0" w:rsidRPr="006E632D">
        <w:t>.</w:t>
      </w:r>
      <w:r w:rsidRPr="006E632D">
        <w:t>, 47/99</w:t>
      </w:r>
      <w:r w:rsidR="007C39E0" w:rsidRPr="006E632D">
        <w:t xml:space="preserve">., </w:t>
      </w:r>
      <w:r w:rsidRPr="006E632D">
        <w:t>3</w:t>
      </w:r>
      <w:r w:rsidR="005B47DD" w:rsidRPr="006E632D">
        <w:t>5</w:t>
      </w:r>
      <w:r w:rsidRPr="006E632D">
        <w:t>/08</w:t>
      </w:r>
      <w:r w:rsidR="007C39E0" w:rsidRPr="006E632D">
        <w:t>.</w:t>
      </w:r>
      <w:r w:rsidR="00945FF0">
        <w:t>,</w:t>
      </w:r>
      <w:r w:rsidR="007C39E0" w:rsidRPr="006E632D">
        <w:t xml:space="preserve"> 127/19.</w:t>
      </w:r>
      <w:r w:rsidR="00945FF0">
        <w:t xml:space="preserve"> i 151/22.</w:t>
      </w:r>
      <w:r w:rsidRPr="006E632D">
        <w:t>)</w:t>
      </w:r>
    </w:p>
    <w:p w:rsidR="00CC4173" w:rsidRPr="006E632D" w:rsidRDefault="005B47DD" w:rsidP="00CC4173">
      <w:pPr>
        <w:pStyle w:val="Odlomakpopisa"/>
        <w:numPr>
          <w:ilvl w:val="0"/>
          <w:numId w:val="1"/>
        </w:numPr>
      </w:pPr>
      <w:r w:rsidRPr="006E632D">
        <w:t xml:space="preserve">Zakon o proračunu (Narodne novine broj </w:t>
      </w:r>
      <w:r w:rsidR="00817766" w:rsidRPr="006E632D">
        <w:t>144</w:t>
      </w:r>
      <w:r w:rsidR="006A05FA" w:rsidRPr="006E632D">
        <w:t>/</w:t>
      </w:r>
      <w:r w:rsidR="00817766" w:rsidRPr="006E632D">
        <w:t>21</w:t>
      </w:r>
      <w:r w:rsidR="007C39E0" w:rsidRPr="006E632D">
        <w:t>.</w:t>
      </w:r>
      <w:r w:rsidRPr="006E632D">
        <w:t>)</w:t>
      </w:r>
    </w:p>
    <w:p w:rsidR="005B47DD" w:rsidRPr="006E632D" w:rsidRDefault="005B47DD" w:rsidP="00CC4173">
      <w:pPr>
        <w:pStyle w:val="Odlomakpopisa"/>
        <w:numPr>
          <w:ilvl w:val="0"/>
          <w:numId w:val="1"/>
        </w:numPr>
      </w:pPr>
      <w:r w:rsidRPr="006E632D">
        <w:lastRenderedPageBreak/>
        <w:t xml:space="preserve">Pravilnik o proračunskim klasifikacijama (Narodne novine broj </w:t>
      </w:r>
      <w:r w:rsidR="00945FF0">
        <w:t>4/24.)</w:t>
      </w:r>
    </w:p>
    <w:p w:rsidR="005B47DD" w:rsidRPr="006E632D" w:rsidRDefault="005B47DD" w:rsidP="00CC4173">
      <w:pPr>
        <w:pStyle w:val="Odlomakpopisa"/>
        <w:numPr>
          <w:ilvl w:val="0"/>
          <w:numId w:val="1"/>
        </w:numPr>
      </w:pPr>
      <w:r w:rsidRPr="006E632D">
        <w:t xml:space="preserve">Pravilnik o proračunskom računovodstvu i Računskom </w:t>
      </w:r>
      <w:r w:rsidR="006A05FA" w:rsidRPr="006E632D">
        <w:t>plan</w:t>
      </w:r>
      <w:r w:rsidR="006A63F8" w:rsidRPr="006E632D">
        <w:t xml:space="preserve">u (Narodne novine broj </w:t>
      </w:r>
      <w:r w:rsidR="00945FF0">
        <w:t>158/23</w:t>
      </w:r>
      <w:r w:rsidR="009732BC" w:rsidRPr="006E632D">
        <w:t>.</w:t>
      </w:r>
      <w:r w:rsidRPr="006E632D">
        <w:t>)</w:t>
      </w:r>
    </w:p>
    <w:p w:rsidR="00DA6914" w:rsidRPr="006E632D" w:rsidRDefault="00DA6914" w:rsidP="00CC4173">
      <w:pPr>
        <w:pStyle w:val="Odlomakpopisa"/>
        <w:numPr>
          <w:ilvl w:val="0"/>
          <w:numId w:val="1"/>
        </w:numPr>
      </w:pPr>
      <w:r w:rsidRPr="006E632D">
        <w:t>Godišnji plan i program ra</w:t>
      </w:r>
      <w:r w:rsidR="00176C72" w:rsidRPr="006E632D">
        <w:t xml:space="preserve">da Škole </w:t>
      </w:r>
    </w:p>
    <w:p w:rsidR="00DA6914" w:rsidRPr="006E632D" w:rsidRDefault="00176C72" w:rsidP="00CC4173">
      <w:pPr>
        <w:pStyle w:val="Odlomakpopisa"/>
        <w:numPr>
          <w:ilvl w:val="0"/>
          <w:numId w:val="1"/>
        </w:numPr>
      </w:pPr>
      <w:r w:rsidRPr="006E632D">
        <w:t>Školski kurikulum</w:t>
      </w:r>
    </w:p>
    <w:p w:rsidR="00817766" w:rsidRPr="006E632D" w:rsidRDefault="00817766" w:rsidP="00CC4173">
      <w:pPr>
        <w:pStyle w:val="Odlomakpopisa"/>
        <w:numPr>
          <w:ilvl w:val="0"/>
          <w:numId w:val="1"/>
        </w:numPr>
      </w:pPr>
      <w:r w:rsidRPr="006E632D">
        <w:t>Uputa za izradu Proračuna Koprivničko-križevačke županije za 202</w:t>
      </w:r>
      <w:r w:rsidR="00945FF0">
        <w:t>5</w:t>
      </w:r>
      <w:r w:rsidRPr="006E632D">
        <w:t>. godinu i projekcija za 202</w:t>
      </w:r>
      <w:r w:rsidR="00945FF0">
        <w:t>6</w:t>
      </w:r>
      <w:r w:rsidRPr="006E632D">
        <w:t>. i 202</w:t>
      </w:r>
      <w:r w:rsidR="00945FF0">
        <w:t>7.</w:t>
      </w:r>
      <w:r w:rsidR="00743D6A">
        <w:t xml:space="preserve">  </w:t>
      </w:r>
      <w:r w:rsidRPr="006E632D">
        <w:t xml:space="preserve"> godinu</w:t>
      </w:r>
    </w:p>
    <w:p w:rsidR="00680A8D" w:rsidRPr="006E632D" w:rsidRDefault="00680A8D"/>
    <w:p w:rsidR="00DA6914" w:rsidRPr="006E632D" w:rsidRDefault="00DA6914" w:rsidP="00DA6914">
      <w:pPr>
        <w:ind w:left="705"/>
        <w:rPr>
          <w:b/>
        </w:rPr>
      </w:pPr>
      <w:r w:rsidRPr="006E632D">
        <w:rPr>
          <w:b/>
        </w:rPr>
        <w:t>USKLAĐENOST CILJEVA, STRATEGIJE PROGRAMA S DOKUMENTIMA DUGOROČNOG RAZVOJA</w:t>
      </w:r>
    </w:p>
    <w:p w:rsidR="00680A8D" w:rsidRPr="006E632D" w:rsidRDefault="00680A8D" w:rsidP="00DA6914"/>
    <w:p w:rsidR="00DA6914" w:rsidRPr="006E632D" w:rsidRDefault="00DA6914" w:rsidP="00DA6914">
      <w:pPr>
        <w:jc w:val="both"/>
      </w:pPr>
      <w:r w:rsidRPr="006E632D">
        <w:tab/>
        <w:t>Školske ustanove ne donose strateške, već godišnje operativne planove prema planu i programu koje je donijelo Minist</w:t>
      </w:r>
      <w:r w:rsidR="00176C72" w:rsidRPr="006E632D">
        <w:t>arstvo znanosti</w:t>
      </w:r>
      <w:r w:rsidR="00006F14">
        <w:t>,</w:t>
      </w:r>
      <w:r w:rsidR="00176C72" w:rsidRPr="006E632D">
        <w:t xml:space="preserve"> obrazovanja</w:t>
      </w:r>
      <w:r w:rsidR="00006F14">
        <w:t xml:space="preserve"> i mladih</w:t>
      </w:r>
      <w:r w:rsidRPr="006E632D">
        <w:t>. Strateške planove donosi Minist</w:t>
      </w:r>
      <w:r w:rsidR="00176C72" w:rsidRPr="006E632D">
        <w:t>arstvo znanosti</w:t>
      </w:r>
      <w:r w:rsidR="00006F14">
        <w:t>,</w:t>
      </w:r>
      <w:r w:rsidR="00176C72" w:rsidRPr="006E632D">
        <w:t xml:space="preserve"> obrazovanja</w:t>
      </w:r>
      <w:r w:rsidR="00006F14">
        <w:t xml:space="preserve"> i mladih</w:t>
      </w:r>
      <w:r w:rsidRPr="006E632D">
        <w:t xml:space="preserve"> i Županija, osnivač Škole</w:t>
      </w:r>
      <w:r w:rsidR="006A05FA" w:rsidRPr="006E632D">
        <w:t xml:space="preserve"> (razvojne strategije)</w:t>
      </w:r>
      <w:r w:rsidRPr="006E632D">
        <w:t>. Vertikalna usklađivanja ciljeva i programa Minist</w:t>
      </w:r>
      <w:r w:rsidR="00176C72" w:rsidRPr="006E632D">
        <w:t>arst</w:t>
      </w:r>
      <w:r w:rsidR="00654644" w:rsidRPr="006E632D">
        <w:t>va znanosti</w:t>
      </w:r>
      <w:r w:rsidR="00006F14">
        <w:t>,</w:t>
      </w:r>
      <w:r w:rsidR="00654644" w:rsidRPr="006E632D">
        <w:t xml:space="preserve"> obrazovanja</w:t>
      </w:r>
      <w:r w:rsidR="00006F14">
        <w:t xml:space="preserve"> i mladih</w:t>
      </w:r>
      <w:r w:rsidR="00654644" w:rsidRPr="006E632D">
        <w:t>, odnosno Ž</w:t>
      </w:r>
      <w:r w:rsidRPr="006E632D">
        <w:t>upanija s ciljevima i programima škola još nisu provedeni.</w:t>
      </w:r>
    </w:p>
    <w:p w:rsidR="00DA6914" w:rsidRPr="006E632D" w:rsidRDefault="00DA6914" w:rsidP="00DA6914">
      <w:pPr>
        <w:jc w:val="both"/>
      </w:pPr>
      <w:r w:rsidRPr="006E632D">
        <w:tab/>
        <w:t>Škola svoje godišnje planove donosi za nastavnu, a ne fiskalnu godinu. To je uzrok mnogim odstupanjima u izvršenju financijskih planova, npr. pomak određenih a</w:t>
      </w:r>
      <w:r w:rsidR="00817766" w:rsidRPr="006E632D">
        <w:t>kt</w:t>
      </w:r>
      <w:r w:rsidRPr="006E632D">
        <w:t>ivnosti unutar školske godine iz jednog polugodišta u drugo uzrokuje promjene u izvršenju Financijskog plana.</w:t>
      </w:r>
      <w:r w:rsidR="00605586" w:rsidRPr="006E632D">
        <w:t xml:space="preserve"> </w:t>
      </w:r>
    </w:p>
    <w:p w:rsidR="00DA6914" w:rsidRPr="006E632D" w:rsidRDefault="00DA6914"/>
    <w:p w:rsidR="00680A8D" w:rsidRPr="006E632D" w:rsidRDefault="00680A8D"/>
    <w:p w:rsidR="00DA6914" w:rsidRPr="006E632D" w:rsidRDefault="00605586" w:rsidP="006E632D">
      <w:pPr>
        <w:rPr>
          <w:b/>
        </w:rPr>
      </w:pPr>
      <w:r w:rsidRPr="006E632D">
        <w:rPr>
          <w:b/>
        </w:rPr>
        <w:tab/>
        <w:t>ISHODIŠTE I POKAZATELJI NA KOJIMA SE ZASNIVAJ</w:t>
      </w:r>
      <w:r w:rsidR="006E632D">
        <w:rPr>
          <w:b/>
        </w:rPr>
        <w:t>U I</w:t>
      </w:r>
      <w:r w:rsidRPr="006E632D">
        <w:rPr>
          <w:b/>
        </w:rPr>
        <w:t>ZRAČUNI</w:t>
      </w:r>
      <w:r w:rsidR="006E632D">
        <w:rPr>
          <w:b/>
        </w:rPr>
        <w:t xml:space="preserve"> </w:t>
      </w:r>
      <w:r w:rsidRPr="006E632D">
        <w:rPr>
          <w:b/>
        </w:rPr>
        <w:t>I</w:t>
      </w:r>
    </w:p>
    <w:p w:rsidR="00605586" w:rsidRPr="006E632D" w:rsidRDefault="00605586">
      <w:pPr>
        <w:rPr>
          <w:b/>
        </w:rPr>
      </w:pPr>
      <w:r w:rsidRPr="006E632D">
        <w:rPr>
          <w:b/>
        </w:rPr>
        <w:tab/>
        <w:t>OCJENE POTREBNIH SREDSTAVA ZA PROVOĐENJE PROGRAMA</w:t>
      </w:r>
    </w:p>
    <w:p w:rsidR="00DA6914" w:rsidRPr="006E632D" w:rsidRDefault="00DA6914">
      <w:pPr>
        <w:rPr>
          <w:b/>
        </w:rPr>
      </w:pPr>
    </w:p>
    <w:p w:rsidR="00DA6914" w:rsidRDefault="00605586">
      <w:pPr>
        <w:rPr>
          <w:b/>
        </w:rPr>
      </w:pPr>
      <w:r w:rsidRPr="006E632D">
        <w:rPr>
          <w:b/>
        </w:rPr>
        <w:tab/>
        <w:t>Izvori sredstava za financiranje rada Škole su:</w:t>
      </w:r>
    </w:p>
    <w:p w:rsidR="00FD5AD2" w:rsidRDefault="00FD5AD2">
      <w:pPr>
        <w:rPr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16"/>
        <w:gridCol w:w="828"/>
        <w:gridCol w:w="7323"/>
      </w:tblGrid>
      <w:tr w:rsidR="002E34A6" w:rsidTr="002E34A6">
        <w:tc>
          <w:tcPr>
            <w:tcW w:w="916" w:type="dxa"/>
          </w:tcPr>
          <w:p w:rsidR="00FD5AD2" w:rsidRPr="009F3AF5" w:rsidRDefault="00FD5AD2">
            <w:pPr>
              <w:rPr>
                <w:sz w:val="20"/>
                <w:szCs w:val="20"/>
              </w:rPr>
            </w:pPr>
            <w:r w:rsidRPr="009F3AF5">
              <w:rPr>
                <w:sz w:val="20"/>
                <w:szCs w:val="20"/>
              </w:rPr>
              <w:t>KONTO</w:t>
            </w:r>
          </w:p>
        </w:tc>
        <w:tc>
          <w:tcPr>
            <w:tcW w:w="828" w:type="dxa"/>
          </w:tcPr>
          <w:p w:rsidR="00FD5AD2" w:rsidRPr="009F3AF5" w:rsidRDefault="00FD5AD2">
            <w:pPr>
              <w:rPr>
                <w:sz w:val="20"/>
                <w:szCs w:val="20"/>
              </w:rPr>
            </w:pPr>
            <w:r w:rsidRPr="009F3AF5">
              <w:rPr>
                <w:sz w:val="20"/>
                <w:szCs w:val="20"/>
              </w:rPr>
              <w:t>IZVOR</w:t>
            </w:r>
          </w:p>
        </w:tc>
        <w:tc>
          <w:tcPr>
            <w:tcW w:w="7323" w:type="dxa"/>
          </w:tcPr>
          <w:p w:rsidR="00FD5AD2" w:rsidRPr="009F3AF5" w:rsidRDefault="00FD5AD2" w:rsidP="00FD5AD2">
            <w:pPr>
              <w:jc w:val="center"/>
              <w:rPr>
                <w:sz w:val="20"/>
                <w:szCs w:val="20"/>
              </w:rPr>
            </w:pPr>
            <w:r w:rsidRPr="009F3AF5">
              <w:rPr>
                <w:sz w:val="20"/>
                <w:szCs w:val="20"/>
              </w:rPr>
              <w:t>OPIS</w:t>
            </w:r>
          </w:p>
        </w:tc>
      </w:tr>
      <w:tr w:rsidR="009F3AF5" w:rsidTr="002E34A6">
        <w:tc>
          <w:tcPr>
            <w:tcW w:w="916" w:type="dxa"/>
            <w:vMerge w:val="restart"/>
          </w:tcPr>
          <w:p w:rsidR="009F3AF5" w:rsidRDefault="009F3AF5">
            <w:pPr>
              <w:rPr>
                <w:sz w:val="22"/>
                <w:szCs w:val="22"/>
              </w:rPr>
            </w:pPr>
          </w:p>
          <w:p w:rsidR="009F3AF5" w:rsidRPr="00FD5AD2" w:rsidRDefault="009F3AF5">
            <w:pPr>
              <w:rPr>
                <w:sz w:val="22"/>
                <w:szCs w:val="22"/>
              </w:rPr>
            </w:pPr>
            <w:r w:rsidRPr="00FD5AD2">
              <w:rPr>
                <w:sz w:val="22"/>
                <w:szCs w:val="22"/>
              </w:rPr>
              <w:t>6361</w:t>
            </w:r>
          </w:p>
        </w:tc>
        <w:tc>
          <w:tcPr>
            <w:tcW w:w="828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 w:rsidRPr="00FD5AD2">
              <w:rPr>
                <w:sz w:val="22"/>
                <w:szCs w:val="22"/>
              </w:rPr>
              <w:t>5.3</w:t>
            </w:r>
          </w:p>
        </w:tc>
        <w:tc>
          <w:tcPr>
            <w:tcW w:w="7323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pomoći proračunskim korisnicima proračuna JLP</w:t>
            </w:r>
            <w:r w:rsidR="002E34A6">
              <w:rPr>
                <w:sz w:val="22"/>
                <w:szCs w:val="22"/>
              </w:rPr>
              <w:t>(R)</w:t>
            </w:r>
            <w:r>
              <w:rPr>
                <w:sz w:val="22"/>
                <w:szCs w:val="22"/>
              </w:rPr>
              <w:t>S</w:t>
            </w:r>
            <w:r w:rsidR="002E34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2E34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plaće i ostala materijalna prava</w:t>
            </w:r>
          </w:p>
        </w:tc>
      </w:tr>
      <w:tr w:rsidR="009F3AF5" w:rsidTr="002E34A6">
        <w:tc>
          <w:tcPr>
            <w:tcW w:w="916" w:type="dxa"/>
            <w:vMerge/>
          </w:tcPr>
          <w:p w:rsidR="009F3AF5" w:rsidRPr="00FD5AD2" w:rsidRDefault="009F3AF5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7323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Tekuće pomoći proračunskim korisnicima iz proračuna koji im nije nadležan </w:t>
            </w:r>
            <w:r w:rsidR="00743D6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Općina</w:t>
            </w:r>
            <w:r w:rsidR="00743D6A">
              <w:rPr>
                <w:sz w:val="22"/>
                <w:szCs w:val="22"/>
              </w:rPr>
              <w:t xml:space="preserve"> i MZO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Kapitalne pomoći proračunskim korisnicima iz proračuna koji im nije nadležan </w:t>
            </w:r>
            <w:r w:rsidR="00743D6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Općina</w:t>
            </w:r>
            <w:r w:rsidR="00743D6A">
              <w:rPr>
                <w:sz w:val="22"/>
                <w:szCs w:val="22"/>
              </w:rPr>
              <w:t xml:space="preserve"> i MZO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Tekući prijenosi između proračunskih korisnika istog proračuna - natjecanja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Tekući prijenosi između proračunskih korisnika istog proračuna temeljem prijenosa EU sredstava (Školska shema, Prilika za sve)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6413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Kamate na depozite po viđenju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6526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nespomenuti prihodi (školska kuhinja)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6614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prodanih proizvoda (stari papir)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6615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pruženih usluga (najam dvorane)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6631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donacije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6632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Kapitalne donacije</w:t>
            </w:r>
          </w:p>
        </w:tc>
      </w:tr>
      <w:tr w:rsidR="002E34A6" w:rsidTr="002E34A6">
        <w:tc>
          <w:tcPr>
            <w:tcW w:w="916" w:type="dxa"/>
            <w:vMerge w:val="restart"/>
          </w:tcPr>
          <w:p w:rsidR="002E34A6" w:rsidRDefault="002E34A6">
            <w:pPr>
              <w:rPr>
                <w:sz w:val="22"/>
                <w:szCs w:val="22"/>
              </w:rPr>
            </w:pPr>
          </w:p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6711</w:t>
            </w:r>
          </w:p>
        </w:tc>
        <w:tc>
          <w:tcPr>
            <w:tcW w:w="828" w:type="dxa"/>
          </w:tcPr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7323" w:type="dxa"/>
          </w:tcPr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 za financiranje rashoda poslovanja (iznad standarda)</w:t>
            </w:r>
          </w:p>
        </w:tc>
      </w:tr>
      <w:tr w:rsidR="002E34A6" w:rsidTr="002E34A6">
        <w:tc>
          <w:tcPr>
            <w:tcW w:w="916" w:type="dxa"/>
            <w:vMerge/>
          </w:tcPr>
          <w:p w:rsidR="002E34A6" w:rsidRPr="00FD5AD2" w:rsidRDefault="002E34A6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7323" w:type="dxa"/>
          </w:tcPr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 za financiranje rashoda poslovanja (Decentralizirana sredstva)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6712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 za financiranje rashoda za nabavu nefinancijske imovine (Decentralizirana sredstva)</w:t>
            </w:r>
          </w:p>
        </w:tc>
      </w:tr>
    </w:tbl>
    <w:p w:rsidR="00FD5AD2" w:rsidRDefault="00FD5AD2">
      <w:pPr>
        <w:rPr>
          <w:b/>
        </w:rPr>
      </w:pPr>
    </w:p>
    <w:p w:rsidR="00FD5AD2" w:rsidRDefault="00FD5AD2">
      <w:pPr>
        <w:rPr>
          <w:b/>
        </w:rPr>
      </w:pPr>
    </w:p>
    <w:p w:rsidR="00006F14" w:rsidRDefault="00006F14">
      <w:pPr>
        <w:rPr>
          <w:b/>
        </w:rPr>
      </w:pPr>
    </w:p>
    <w:p w:rsidR="00FD5AD2" w:rsidRPr="006E632D" w:rsidRDefault="00FD5AD2">
      <w:pPr>
        <w:rPr>
          <w:b/>
        </w:rPr>
      </w:pPr>
    </w:p>
    <w:p w:rsidR="00DB42A8" w:rsidRDefault="00DB42A8" w:rsidP="002E34A6">
      <w:pPr>
        <w:jc w:val="center"/>
        <w:rPr>
          <w:b/>
        </w:rPr>
      </w:pPr>
      <w:bookmarkStart w:id="0" w:name="_Hlk118980844"/>
    </w:p>
    <w:p w:rsidR="005338B6" w:rsidRPr="002E34A6" w:rsidRDefault="002E34A6" w:rsidP="002E34A6">
      <w:pPr>
        <w:jc w:val="center"/>
        <w:rPr>
          <w:b/>
        </w:rPr>
      </w:pPr>
      <w:r w:rsidRPr="002E34A6">
        <w:rPr>
          <w:b/>
        </w:rPr>
        <w:t>I.  OPĆI DIO</w:t>
      </w:r>
    </w:p>
    <w:bookmarkEnd w:id="0"/>
    <w:p w:rsidR="002E34A6" w:rsidRPr="002E34A6" w:rsidRDefault="002E34A6" w:rsidP="002E34A6">
      <w:pPr>
        <w:jc w:val="center"/>
        <w:rPr>
          <w:b/>
        </w:rPr>
      </w:pPr>
      <w:r w:rsidRPr="002E34A6">
        <w:rPr>
          <w:b/>
        </w:rPr>
        <w:t>Prihodi poslovanja</w:t>
      </w:r>
    </w:p>
    <w:p w:rsidR="00A45B9C" w:rsidRDefault="00A45B9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435"/>
        <w:gridCol w:w="2203"/>
        <w:gridCol w:w="2203"/>
      </w:tblGrid>
      <w:tr w:rsidR="002E34A6" w:rsidRPr="002E34A6" w:rsidTr="00682511">
        <w:tc>
          <w:tcPr>
            <w:tcW w:w="2122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bookmarkStart w:id="1" w:name="_Hlk118979736"/>
            <w:r w:rsidRPr="002E34A6">
              <w:rPr>
                <w:sz w:val="22"/>
                <w:szCs w:val="22"/>
              </w:rPr>
              <w:t>IZVOR</w:t>
            </w:r>
          </w:p>
        </w:tc>
        <w:tc>
          <w:tcPr>
            <w:tcW w:w="2435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A72801">
              <w:rPr>
                <w:sz w:val="22"/>
                <w:szCs w:val="22"/>
              </w:rPr>
              <w:t>5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A72801">
              <w:rPr>
                <w:sz w:val="22"/>
                <w:szCs w:val="22"/>
              </w:rPr>
              <w:t>6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A72801">
              <w:rPr>
                <w:sz w:val="22"/>
                <w:szCs w:val="22"/>
              </w:rPr>
              <w:t>7</w:t>
            </w:r>
            <w:r w:rsidRPr="002E34A6">
              <w:rPr>
                <w:sz w:val="22"/>
                <w:szCs w:val="22"/>
              </w:rPr>
              <w:t>.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435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587</w:t>
            </w:r>
            <w:r w:rsidR="00743D6A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743D6A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2801">
              <w:rPr>
                <w:sz w:val="22"/>
                <w:szCs w:val="22"/>
              </w:rPr>
              <w:t>0</w:t>
            </w:r>
            <w:r w:rsidR="00FE1606">
              <w:rPr>
                <w:sz w:val="22"/>
                <w:szCs w:val="22"/>
              </w:rPr>
              <w:t>.</w:t>
            </w:r>
            <w:r w:rsidR="00A72801">
              <w:rPr>
                <w:sz w:val="22"/>
                <w:szCs w:val="22"/>
              </w:rPr>
              <w:t>429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743D6A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2801">
              <w:rPr>
                <w:sz w:val="22"/>
                <w:szCs w:val="22"/>
              </w:rPr>
              <w:t>0</w:t>
            </w:r>
            <w:r w:rsidR="00FE1606">
              <w:rPr>
                <w:sz w:val="22"/>
                <w:szCs w:val="22"/>
              </w:rPr>
              <w:t>.</w:t>
            </w:r>
            <w:r w:rsidR="00A72801">
              <w:rPr>
                <w:sz w:val="22"/>
                <w:szCs w:val="22"/>
              </w:rPr>
              <w:t>837</w:t>
            </w:r>
            <w:r>
              <w:rPr>
                <w:sz w:val="22"/>
                <w:szCs w:val="22"/>
              </w:rPr>
              <w:t>,00</w:t>
            </w:r>
          </w:p>
        </w:tc>
      </w:tr>
      <w:bookmarkEnd w:id="1"/>
      <w:tr w:rsidR="002E34A6" w:rsidTr="00682511">
        <w:tc>
          <w:tcPr>
            <w:tcW w:w="2122" w:type="dxa"/>
          </w:tcPr>
          <w:p w:rsidR="002E34A6" w:rsidRPr="002E34A6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435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FE160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59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985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885</w:t>
            </w:r>
            <w:r w:rsidR="00FE1606">
              <w:rPr>
                <w:sz w:val="22"/>
                <w:szCs w:val="22"/>
              </w:rPr>
              <w:t>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682511">
              <w:rPr>
                <w:sz w:val="22"/>
                <w:szCs w:val="22"/>
              </w:rPr>
              <w:t>.</w:t>
            </w:r>
          </w:p>
        </w:tc>
        <w:tc>
          <w:tcPr>
            <w:tcW w:w="2435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E1606">
              <w:rPr>
                <w:sz w:val="22"/>
                <w:szCs w:val="22"/>
              </w:rPr>
              <w:t>.100,00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186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270</w:t>
            </w:r>
            <w:r w:rsidR="00FE1606">
              <w:rPr>
                <w:sz w:val="22"/>
                <w:szCs w:val="22"/>
              </w:rPr>
              <w:t>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2435" w:type="dxa"/>
          </w:tcPr>
          <w:p w:rsidR="002E34A6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7280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72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390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72801">
              <w:rPr>
                <w:sz w:val="22"/>
                <w:szCs w:val="22"/>
              </w:rPr>
              <w:t>477</w:t>
            </w:r>
            <w:r>
              <w:rPr>
                <w:sz w:val="22"/>
                <w:szCs w:val="22"/>
              </w:rPr>
              <w:t>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2435" w:type="dxa"/>
          </w:tcPr>
          <w:p w:rsidR="002E34A6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728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0.200,00</w:t>
            </w:r>
          </w:p>
        </w:tc>
        <w:tc>
          <w:tcPr>
            <w:tcW w:w="2203" w:type="dxa"/>
          </w:tcPr>
          <w:p w:rsidR="002E34A6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72801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.</w:t>
            </w:r>
            <w:r w:rsidR="00A72801">
              <w:rPr>
                <w:sz w:val="22"/>
                <w:szCs w:val="22"/>
              </w:rPr>
              <w:t>684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657</w:t>
            </w:r>
            <w:r w:rsidR="00FE1606">
              <w:rPr>
                <w:sz w:val="22"/>
                <w:szCs w:val="22"/>
              </w:rPr>
              <w:t>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2435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E160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132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108,</w:t>
            </w:r>
            <w:r w:rsidR="00FE1606">
              <w:rPr>
                <w:sz w:val="22"/>
                <w:szCs w:val="22"/>
              </w:rPr>
              <w:t>00</w:t>
            </w:r>
          </w:p>
        </w:tc>
        <w:tc>
          <w:tcPr>
            <w:tcW w:w="2203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030</w:t>
            </w:r>
            <w:r w:rsidR="00FE1606">
              <w:rPr>
                <w:sz w:val="22"/>
                <w:szCs w:val="22"/>
              </w:rPr>
              <w:t>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2435" w:type="dxa"/>
          </w:tcPr>
          <w:p w:rsidR="002E34A6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882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2E34A6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3" w:type="dxa"/>
          </w:tcPr>
          <w:p w:rsidR="002E34A6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82511" w:rsidTr="00682511">
        <w:tc>
          <w:tcPr>
            <w:tcW w:w="2122" w:type="dxa"/>
          </w:tcPr>
          <w:p w:rsidR="00682511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2435" w:type="dxa"/>
          </w:tcPr>
          <w:p w:rsidR="00682511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11.650,00</w:t>
            </w:r>
          </w:p>
        </w:tc>
        <w:tc>
          <w:tcPr>
            <w:tcW w:w="2203" w:type="dxa"/>
          </w:tcPr>
          <w:p w:rsidR="00682511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28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A72801">
              <w:rPr>
                <w:sz w:val="22"/>
                <w:szCs w:val="22"/>
              </w:rPr>
              <w:t>895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682511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A72801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,00</w:t>
            </w:r>
          </w:p>
        </w:tc>
      </w:tr>
      <w:tr w:rsidR="00682511" w:rsidTr="00682511">
        <w:tc>
          <w:tcPr>
            <w:tcW w:w="2122" w:type="dxa"/>
          </w:tcPr>
          <w:p w:rsidR="00682511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2435" w:type="dxa"/>
          </w:tcPr>
          <w:p w:rsidR="00682511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910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682511" w:rsidRPr="002E34A6" w:rsidRDefault="00A72801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1.080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677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682511" w:rsidRPr="002E34A6" w:rsidRDefault="00FE1606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72801">
              <w:rPr>
                <w:sz w:val="22"/>
                <w:szCs w:val="22"/>
              </w:rPr>
              <w:t>102</w:t>
            </w:r>
            <w:r>
              <w:rPr>
                <w:sz w:val="22"/>
                <w:szCs w:val="22"/>
              </w:rPr>
              <w:t>.</w:t>
            </w:r>
            <w:r w:rsidR="00A72801">
              <w:rPr>
                <w:sz w:val="22"/>
                <w:szCs w:val="22"/>
              </w:rPr>
              <w:t>289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2E34A6" w:rsidRDefault="002E34A6"/>
    <w:p w:rsidR="002E34A6" w:rsidRDefault="00B85DA6" w:rsidP="00B85DA6">
      <w:pPr>
        <w:jc w:val="both"/>
      </w:pPr>
      <w:r>
        <w:tab/>
        <w:t>Iz prikazanog je vidljivo da su projekcije Financijskog plana povećane zbog kompletnog rasta troškova (inflacija). Također je vidljivo da je najveći izvor prihoda 5.3. – sredstva Ministarstva za plaće i ostala materijalna prava radnika.</w:t>
      </w:r>
    </w:p>
    <w:p w:rsidR="002E34A6" w:rsidRDefault="002E34A6"/>
    <w:p w:rsidR="00DB42A8" w:rsidRDefault="00DB42A8" w:rsidP="00B85DA6">
      <w:pPr>
        <w:jc w:val="center"/>
        <w:rPr>
          <w:b/>
        </w:rPr>
      </w:pPr>
    </w:p>
    <w:p w:rsidR="00B85DA6" w:rsidRDefault="00B85DA6" w:rsidP="00B85DA6">
      <w:pPr>
        <w:jc w:val="center"/>
        <w:rPr>
          <w:b/>
        </w:rPr>
      </w:pPr>
      <w:r w:rsidRPr="00B85DA6">
        <w:rPr>
          <w:b/>
        </w:rPr>
        <w:t>Rashodi poslovanja</w:t>
      </w:r>
    </w:p>
    <w:p w:rsidR="006B3F10" w:rsidRPr="00B85DA6" w:rsidRDefault="006B3F10" w:rsidP="00B85DA6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435"/>
        <w:gridCol w:w="2203"/>
        <w:gridCol w:w="2203"/>
      </w:tblGrid>
      <w:tr w:rsidR="00B85DA6" w:rsidRPr="002E34A6" w:rsidTr="00AF33BC">
        <w:tc>
          <w:tcPr>
            <w:tcW w:w="2122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</w:t>
            </w:r>
          </w:p>
        </w:tc>
        <w:tc>
          <w:tcPr>
            <w:tcW w:w="2435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A72801">
              <w:rPr>
                <w:sz w:val="22"/>
                <w:szCs w:val="22"/>
              </w:rPr>
              <w:t>5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A72801">
              <w:rPr>
                <w:sz w:val="22"/>
                <w:szCs w:val="22"/>
              </w:rPr>
              <w:t>6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A72801">
              <w:rPr>
                <w:sz w:val="22"/>
                <w:szCs w:val="22"/>
              </w:rPr>
              <w:t>7</w:t>
            </w:r>
            <w:r w:rsidRPr="002E34A6">
              <w:rPr>
                <w:sz w:val="22"/>
                <w:szCs w:val="22"/>
              </w:rPr>
              <w:t>.</w:t>
            </w:r>
          </w:p>
        </w:tc>
      </w:tr>
      <w:tr w:rsidR="00B85DA6" w:rsidRPr="002E34A6" w:rsidTr="00AF33BC">
        <w:tc>
          <w:tcPr>
            <w:tcW w:w="2122" w:type="dxa"/>
          </w:tcPr>
          <w:p w:rsidR="00B85DA6" w:rsidRPr="002E34A6" w:rsidRDefault="00B85DA6" w:rsidP="00B8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5" w:type="dxa"/>
          </w:tcPr>
          <w:p w:rsidR="00B85DA6" w:rsidRPr="002E34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1.045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010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B85DA6" w:rsidRPr="002E34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1.049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127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B85DA6" w:rsidRPr="002E34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108</w:t>
            </w:r>
            <w:r w:rsidR="00FE1606">
              <w:rPr>
                <w:sz w:val="22"/>
                <w:szCs w:val="22"/>
              </w:rPr>
              <w:t>,00</w:t>
            </w:r>
          </w:p>
        </w:tc>
      </w:tr>
      <w:tr w:rsidR="00B85DA6" w:rsidRPr="002E34A6" w:rsidTr="00AF33BC">
        <w:tc>
          <w:tcPr>
            <w:tcW w:w="2122" w:type="dxa"/>
          </w:tcPr>
          <w:p w:rsidR="00B85DA6" w:rsidRPr="002E34A6" w:rsidRDefault="00B85DA6" w:rsidP="00B8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5" w:type="dxa"/>
          </w:tcPr>
          <w:p w:rsidR="00B85DA6" w:rsidRPr="002E34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FE1606">
              <w:rPr>
                <w:sz w:val="22"/>
                <w:szCs w:val="22"/>
              </w:rPr>
              <w:t>00,00</w:t>
            </w:r>
          </w:p>
        </w:tc>
        <w:tc>
          <w:tcPr>
            <w:tcW w:w="2203" w:type="dxa"/>
          </w:tcPr>
          <w:p w:rsidR="00B85DA6" w:rsidRPr="002E34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550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B85DA6" w:rsidRPr="002E34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181</w:t>
            </w:r>
            <w:r w:rsidR="00FE1606">
              <w:rPr>
                <w:sz w:val="22"/>
                <w:szCs w:val="22"/>
              </w:rPr>
              <w:t>,00</w:t>
            </w:r>
          </w:p>
        </w:tc>
      </w:tr>
      <w:tr w:rsidR="00B85DA6" w:rsidRPr="002E34A6" w:rsidTr="00AF33BC">
        <w:tc>
          <w:tcPr>
            <w:tcW w:w="2122" w:type="dxa"/>
          </w:tcPr>
          <w:p w:rsidR="00B85DA6" w:rsidRDefault="00B85DA6" w:rsidP="00B8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2435" w:type="dxa"/>
          </w:tcPr>
          <w:p w:rsidR="00B85D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1.075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910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B85DA6" w:rsidRPr="002E34A6" w:rsidRDefault="00A72801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1.080</w:t>
            </w:r>
            <w:r w:rsidR="00FE1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677</w:t>
            </w:r>
            <w:r w:rsidR="00FE1606">
              <w:rPr>
                <w:sz w:val="22"/>
                <w:szCs w:val="22"/>
              </w:rPr>
              <w:t>,00</w:t>
            </w:r>
          </w:p>
        </w:tc>
        <w:tc>
          <w:tcPr>
            <w:tcW w:w="2203" w:type="dxa"/>
          </w:tcPr>
          <w:p w:rsidR="00B85DA6" w:rsidRPr="002E34A6" w:rsidRDefault="00FE1606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72801">
              <w:rPr>
                <w:sz w:val="22"/>
                <w:szCs w:val="22"/>
              </w:rPr>
              <w:t>102</w:t>
            </w:r>
            <w:r>
              <w:rPr>
                <w:sz w:val="22"/>
                <w:szCs w:val="22"/>
              </w:rPr>
              <w:t>.</w:t>
            </w:r>
            <w:r w:rsidR="00A72801">
              <w:rPr>
                <w:sz w:val="22"/>
                <w:szCs w:val="22"/>
              </w:rPr>
              <w:t>289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B85DA6" w:rsidRDefault="00B85DA6"/>
    <w:p w:rsidR="00B85DA6" w:rsidRDefault="006B3F10" w:rsidP="006B3F10">
      <w:pPr>
        <w:jc w:val="both"/>
      </w:pPr>
      <w:r>
        <w:tab/>
        <w:t>Vidljiv je porast rashoda poslovanja te rashoda za nabavu nefinancijske imovine zbog kompletnog porasta troškova (inflacija)</w:t>
      </w:r>
      <w:r w:rsidR="00FE1606">
        <w:t xml:space="preserve"> te porasta plaća</w:t>
      </w:r>
      <w:r>
        <w:t>. Planirani manjak od 1.</w:t>
      </w:r>
      <w:r w:rsidR="0041725E">
        <w:t>8</w:t>
      </w:r>
      <w:r>
        <w:t>00 EUR u 202</w:t>
      </w:r>
      <w:r w:rsidR="0041725E">
        <w:t>4</w:t>
      </w:r>
      <w:r>
        <w:t>. godini pokrit će se donesenim viškom iz 202</w:t>
      </w:r>
      <w:r w:rsidR="0041725E">
        <w:t>3</w:t>
      </w:r>
      <w:r>
        <w:t>. godine u iznosu od 1.</w:t>
      </w:r>
      <w:r w:rsidR="0041725E">
        <w:t>8</w:t>
      </w:r>
      <w:r>
        <w:t>00 EUR.</w:t>
      </w:r>
    </w:p>
    <w:p w:rsidR="00B85DA6" w:rsidRDefault="00B85DA6"/>
    <w:p w:rsidR="00DB42A8" w:rsidRDefault="00DB42A8" w:rsidP="006B3F10">
      <w:pPr>
        <w:jc w:val="center"/>
        <w:rPr>
          <w:b/>
        </w:rPr>
      </w:pPr>
    </w:p>
    <w:p w:rsidR="006B3F10" w:rsidRPr="002E34A6" w:rsidRDefault="006B3F10" w:rsidP="006B3F10">
      <w:pPr>
        <w:jc w:val="center"/>
        <w:rPr>
          <w:b/>
        </w:rPr>
      </w:pPr>
      <w:r w:rsidRPr="002E34A6">
        <w:rPr>
          <w:b/>
        </w:rPr>
        <w:t xml:space="preserve">I.  </w:t>
      </w:r>
      <w:r>
        <w:rPr>
          <w:b/>
        </w:rPr>
        <w:t>POSEBN</w:t>
      </w:r>
      <w:r w:rsidRPr="002E34A6">
        <w:rPr>
          <w:b/>
        </w:rPr>
        <w:t>I DIO</w:t>
      </w:r>
    </w:p>
    <w:p w:rsidR="006B3F10" w:rsidRDefault="006B3F10"/>
    <w:p w:rsidR="006B3F10" w:rsidRPr="006B3F10" w:rsidRDefault="006B3F10" w:rsidP="006B3F10">
      <w:pPr>
        <w:jc w:val="center"/>
        <w:rPr>
          <w:b/>
        </w:rPr>
      </w:pPr>
      <w:r w:rsidRPr="006B3F10">
        <w:rPr>
          <w:b/>
        </w:rPr>
        <w:t>Rashodi prema programima</w:t>
      </w:r>
    </w:p>
    <w:p w:rsidR="006B3F10" w:rsidRDefault="006B3F10"/>
    <w:p w:rsidR="006B3F10" w:rsidRDefault="006B3F10" w:rsidP="006B3F10">
      <w:pPr>
        <w:pStyle w:val="Odlomakpopisa"/>
        <w:numPr>
          <w:ilvl w:val="0"/>
          <w:numId w:val="3"/>
        </w:numPr>
      </w:pPr>
      <w:r>
        <w:t>Redovni program osnovnog školstva</w:t>
      </w:r>
    </w:p>
    <w:p w:rsidR="006B3F10" w:rsidRDefault="006B3F10" w:rsidP="006B3F10">
      <w:pPr>
        <w:ind w:left="705"/>
        <w:jc w:val="both"/>
      </w:pPr>
      <w:r>
        <w:t xml:space="preserve">U redovni  program  osnovnog  školstva  spadaju  rashodi  za  aktivnost  Upravljanje i </w:t>
      </w:r>
    </w:p>
    <w:p w:rsidR="006B3F10" w:rsidRDefault="006B3F10" w:rsidP="006B3F10">
      <w:pPr>
        <w:jc w:val="both"/>
      </w:pPr>
      <w:r>
        <w:t>administracija (plaće i materijalna prava zaposlenih), Redovni rad OŠ (rashodi za materijal, energiju, usluge i financijski rashodi za redovno poslovanje), Školska kuhinja (rashodi za materijal za rad školske kuhinje) i Ulaganja u nefinancijsku imovinu.</w:t>
      </w:r>
    </w:p>
    <w:p w:rsidR="006B3F10" w:rsidRDefault="006B3F10"/>
    <w:p w:rsidR="006B3F10" w:rsidRDefault="006B3F10" w:rsidP="006B3F10">
      <w:pPr>
        <w:pStyle w:val="Odlomakpopisa"/>
        <w:numPr>
          <w:ilvl w:val="0"/>
          <w:numId w:val="3"/>
        </w:numPr>
      </w:pPr>
      <w:r>
        <w:t>Program upravnog odjela</w:t>
      </w:r>
    </w:p>
    <w:p w:rsidR="006B3F10" w:rsidRDefault="006B3F10" w:rsidP="006B3F10">
      <w:pPr>
        <w:ind w:left="705"/>
      </w:pPr>
      <w:r>
        <w:t xml:space="preserve">U program upravnog odjela spadaju Rashodi za natjecanja, EU projekti: Školska </w:t>
      </w:r>
    </w:p>
    <w:p w:rsidR="006B3F10" w:rsidRDefault="006B3F10" w:rsidP="006B3F10">
      <w:r>
        <w:t xml:space="preserve">shema, Prilika za sve </w:t>
      </w:r>
      <w:r w:rsidR="00D9161F">
        <w:t>7</w:t>
      </w:r>
      <w:r>
        <w:t xml:space="preserve"> (završava 202</w:t>
      </w:r>
      <w:r w:rsidR="00D9161F">
        <w:t>5</w:t>
      </w:r>
      <w:r>
        <w:t>. i nema tih rashoda u 202</w:t>
      </w:r>
      <w:r w:rsidR="00D9161F">
        <w:t>6</w:t>
      </w:r>
      <w:r>
        <w:t>. i 202</w:t>
      </w:r>
      <w:r w:rsidR="00D9161F">
        <w:t>7</w:t>
      </w:r>
      <w:r>
        <w:t>. g.) .</w:t>
      </w:r>
    </w:p>
    <w:p w:rsidR="0096535B" w:rsidRDefault="006B3F10" w:rsidP="006B3F10">
      <w:r>
        <w:tab/>
        <w:t>Svi rashodi se povećavaju u 202</w:t>
      </w:r>
      <w:r w:rsidR="00D9161F">
        <w:t>6</w:t>
      </w:r>
      <w:r>
        <w:t>. i 202</w:t>
      </w:r>
      <w:r w:rsidR="00D9161F">
        <w:t>7</w:t>
      </w:r>
      <w:r>
        <w:t xml:space="preserve">. g. zbog rasta cijena </w:t>
      </w:r>
      <w:r w:rsidR="0041725E">
        <w:t>i rasta plaća</w:t>
      </w:r>
      <w:r w:rsidR="00DB42A8">
        <w:t>.</w:t>
      </w:r>
    </w:p>
    <w:p w:rsidR="0096535B" w:rsidRDefault="0096535B" w:rsidP="006B3F10"/>
    <w:p w:rsidR="0096535B" w:rsidRDefault="0096535B" w:rsidP="006B3F10"/>
    <w:p w:rsidR="0041725E" w:rsidRDefault="0041725E" w:rsidP="006B3F10"/>
    <w:p w:rsidR="0041725E" w:rsidRDefault="0041725E" w:rsidP="006B3F10"/>
    <w:p w:rsidR="00DB42A8" w:rsidRDefault="00DB42A8" w:rsidP="006B3F10"/>
    <w:p w:rsidR="0041725E" w:rsidRPr="006E632D" w:rsidRDefault="0041725E" w:rsidP="006B3F10"/>
    <w:p w:rsidR="00DB42A8" w:rsidRDefault="00DB42A8" w:rsidP="004E13F5">
      <w:pPr>
        <w:jc w:val="both"/>
        <w:rPr>
          <w:b/>
        </w:rPr>
      </w:pPr>
    </w:p>
    <w:p w:rsidR="004E13F5" w:rsidRPr="006E632D" w:rsidRDefault="004E13F5" w:rsidP="004E13F5">
      <w:pPr>
        <w:jc w:val="both"/>
        <w:rPr>
          <w:b/>
        </w:rPr>
      </w:pPr>
      <w:r w:rsidRPr="006E632D">
        <w:rPr>
          <w:b/>
        </w:rPr>
        <w:tab/>
        <w:t>IZVJEŠTAJ O POSTIGNUTIM CILJEVIMA I REZULTATIMA PROGRAMA</w:t>
      </w:r>
    </w:p>
    <w:p w:rsidR="004E13F5" w:rsidRPr="006E632D" w:rsidRDefault="004E13F5" w:rsidP="004E13F5">
      <w:pPr>
        <w:ind w:firstLine="708"/>
        <w:jc w:val="both"/>
        <w:rPr>
          <w:b/>
        </w:rPr>
      </w:pPr>
      <w:r w:rsidRPr="006E632D">
        <w:rPr>
          <w:b/>
        </w:rPr>
        <w:t xml:space="preserve">TEMELJENIM NA POKAZATELJIMA USPJEŠNOSTI IZ NADLEŽNOSTI </w:t>
      </w:r>
    </w:p>
    <w:p w:rsidR="004E13F5" w:rsidRPr="006E632D" w:rsidRDefault="004E13F5" w:rsidP="004E13F5">
      <w:pPr>
        <w:ind w:firstLine="708"/>
        <w:jc w:val="both"/>
        <w:rPr>
          <w:b/>
        </w:rPr>
      </w:pPr>
      <w:r w:rsidRPr="006E632D">
        <w:rPr>
          <w:b/>
        </w:rPr>
        <w:t>PRORAČUNSKOG KORISNIKA U PRETHODNOJ GODINI</w:t>
      </w:r>
    </w:p>
    <w:p w:rsidR="004E13F5" w:rsidRPr="006E632D" w:rsidRDefault="004E13F5"/>
    <w:p w:rsidR="00CB51E0" w:rsidRPr="006E632D" w:rsidRDefault="004E13F5" w:rsidP="00210663">
      <w:pPr>
        <w:jc w:val="both"/>
        <w:rPr>
          <w:color w:val="000000" w:themeColor="text1"/>
        </w:rPr>
      </w:pPr>
      <w:r w:rsidRPr="006E632D">
        <w:rPr>
          <w:color w:val="FF0000"/>
        </w:rPr>
        <w:tab/>
      </w:r>
      <w:r w:rsidRPr="006E632D">
        <w:rPr>
          <w:color w:val="000000" w:themeColor="text1"/>
        </w:rPr>
        <w:t xml:space="preserve">Ostvareno je redovno odvijanje nastavnog procesa. </w:t>
      </w:r>
      <w:r w:rsidR="00AB34B5" w:rsidRPr="006E632D">
        <w:rPr>
          <w:color w:val="000000" w:themeColor="text1"/>
        </w:rPr>
        <w:t xml:space="preserve">Na kraju školske </w:t>
      </w:r>
      <w:r w:rsidR="00A45B9C" w:rsidRPr="006E632D">
        <w:rPr>
          <w:color w:val="000000" w:themeColor="text1"/>
        </w:rPr>
        <w:t>godine 20</w:t>
      </w:r>
      <w:r w:rsidR="009732BC" w:rsidRPr="006E632D">
        <w:rPr>
          <w:color w:val="000000" w:themeColor="text1"/>
        </w:rPr>
        <w:t>2</w:t>
      </w:r>
      <w:r w:rsidR="00D9161F">
        <w:rPr>
          <w:color w:val="000000" w:themeColor="text1"/>
        </w:rPr>
        <w:t>3</w:t>
      </w:r>
      <w:r w:rsidR="00CE7DF8" w:rsidRPr="006E632D">
        <w:rPr>
          <w:color w:val="000000" w:themeColor="text1"/>
        </w:rPr>
        <w:t>./20</w:t>
      </w:r>
      <w:r w:rsidR="003B533D" w:rsidRPr="006E632D">
        <w:rPr>
          <w:color w:val="000000" w:themeColor="text1"/>
        </w:rPr>
        <w:t>2</w:t>
      </w:r>
      <w:r w:rsidR="00D9161F">
        <w:rPr>
          <w:color w:val="000000" w:themeColor="text1"/>
        </w:rPr>
        <w:t>4</w:t>
      </w:r>
      <w:r w:rsidR="00A45B9C" w:rsidRPr="006E632D">
        <w:rPr>
          <w:color w:val="000000" w:themeColor="text1"/>
        </w:rPr>
        <w:t xml:space="preserve">. </w:t>
      </w:r>
      <w:r w:rsidR="00053655" w:rsidRPr="006E632D">
        <w:rPr>
          <w:color w:val="000000" w:themeColor="text1"/>
        </w:rPr>
        <w:t xml:space="preserve"> </w:t>
      </w:r>
      <w:r w:rsidR="00006F14">
        <w:rPr>
          <w:color w:val="000000" w:themeColor="text1"/>
        </w:rPr>
        <w:t xml:space="preserve">svih </w:t>
      </w:r>
      <w:r w:rsidR="00510911" w:rsidRPr="006E632D">
        <w:rPr>
          <w:color w:val="000000" w:themeColor="text1"/>
        </w:rPr>
        <w:t>1</w:t>
      </w:r>
      <w:r w:rsidR="00110394" w:rsidRPr="006E632D">
        <w:rPr>
          <w:color w:val="000000" w:themeColor="text1"/>
        </w:rPr>
        <w:t>1</w:t>
      </w:r>
      <w:r w:rsidR="0096535B">
        <w:rPr>
          <w:color w:val="000000" w:themeColor="text1"/>
        </w:rPr>
        <w:t>3</w:t>
      </w:r>
      <w:r w:rsidR="00210663" w:rsidRPr="006E632D">
        <w:rPr>
          <w:color w:val="000000" w:themeColor="text1"/>
        </w:rPr>
        <w:t xml:space="preserve"> učenik</w:t>
      </w:r>
      <w:r w:rsidR="005B0582" w:rsidRPr="006E632D">
        <w:rPr>
          <w:color w:val="000000" w:themeColor="text1"/>
        </w:rPr>
        <w:t>a</w:t>
      </w:r>
      <w:r w:rsidR="00210663" w:rsidRPr="006E632D">
        <w:rPr>
          <w:color w:val="000000" w:themeColor="text1"/>
        </w:rPr>
        <w:t xml:space="preserve"> uspješno je završi</w:t>
      </w:r>
      <w:r w:rsidR="005B0582" w:rsidRPr="006E632D">
        <w:rPr>
          <w:color w:val="000000" w:themeColor="text1"/>
        </w:rPr>
        <w:t>l</w:t>
      </w:r>
      <w:r w:rsidR="00360265" w:rsidRPr="006E632D">
        <w:rPr>
          <w:color w:val="000000" w:themeColor="text1"/>
        </w:rPr>
        <w:t>o razred</w:t>
      </w:r>
      <w:r w:rsidR="00053655" w:rsidRPr="006E632D">
        <w:rPr>
          <w:color w:val="000000" w:themeColor="text1"/>
        </w:rPr>
        <w:t>.</w:t>
      </w:r>
    </w:p>
    <w:p w:rsidR="00510911" w:rsidRPr="006E632D" w:rsidRDefault="00210663" w:rsidP="00210663">
      <w:pPr>
        <w:jc w:val="both"/>
      </w:pPr>
      <w:r w:rsidRPr="006E632D">
        <w:rPr>
          <w:color w:val="000000" w:themeColor="text1"/>
        </w:rPr>
        <w:tab/>
        <w:t>U protekloj školskoj godini ostvarena su postignuća učenika u dodatnom radu. Učen</w:t>
      </w:r>
      <w:r w:rsidR="00C11337" w:rsidRPr="006E632D">
        <w:rPr>
          <w:color w:val="000000" w:themeColor="text1"/>
        </w:rPr>
        <w:t>ici su sudjelovali na školskoj,</w:t>
      </w:r>
      <w:r w:rsidRPr="006E632D">
        <w:rPr>
          <w:color w:val="000000" w:themeColor="text1"/>
        </w:rPr>
        <w:t xml:space="preserve"> županijskoj</w:t>
      </w:r>
      <w:r w:rsidR="00C11337" w:rsidRPr="006E632D">
        <w:rPr>
          <w:color w:val="000000" w:themeColor="text1"/>
        </w:rPr>
        <w:t xml:space="preserve"> i državnoj</w:t>
      </w:r>
      <w:r w:rsidRPr="006E632D">
        <w:rPr>
          <w:color w:val="000000" w:themeColor="text1"/>
        </w:rPr>
        <w:t xml:space="preserve"> razini natjecanja</w:t>
      </w:r>
      <w:r w:rsidR="00A45B9C" w:rsidRPr="006E632D">
        <w:rPr>
          <w:color w:val="000000" w:themeColor="text1"/>
        </w:rPr>
        <w:t xml:space="preserve">. </w:t>
      </w:r>
      <w:r w:rsidR="009F5F70" w:rsidRPr="006E632D">
        <w:rPr>
          <w:color w:val="000000" w:themeColor="text1"/>
        </w:rPr>
        <w:t>Učenici naše škole posebno se ističu uspje</w:t>
      </w:r>
      <w:r w:rsidR="00172E79" w:rsidRPr="006E632D">
        <w:rPr>
          <w:color w:val="000000" w:themeColor="text1"/>
        </w:rPr>
        <w:t xml:space="preserve">sima u </w:t>
      </w:r>
      <w:r w:rsidR="00A45B9C" w:rsidRPr="006E632D">
        <w:rPr>
          <w:color w:val="000000" w:themeColor="text1"/>
        </w:rPr>
        <w:t>području građanskog odgoja. S</w:t>
      </w:r>
      <w:r w:rsidR="006532A5" w:rsidRPr="006E632D">
        <w:rPr>
          <w:color w:val="000000" w:themeColor="text1"/>
        </w:rPr>
        <w:t xml:space="preserve">vake godine uspješno osmisle i prezentiraju projekte </w:t>
      </w:r>
      <w:r w:rsidR="00A45B9C" w:rsidRPr="006E632D">
        <w:rPr>
          <w:color w:val="000000" w:themeColor="text1"/>
        </w:rPr>
        <w:t>te su sudjelovali</w:t>
      </w:r>
      <w:r w:rsidR="00172E79" w:rsidRPr="006E632D">
        <w:rPr>
          <w:color w:val="000000" w:themeColor="text1"/>
        </w:rPr>
        <w:t xml:space="preserve"> na </w:t>
      </w:r>
      <w:r w:rsidR="00132EB6" w:rsidRPr="006E632D">
        <w:rPr>
          <w:color w:val="000000" w:themeColor="text1"/>
        </w:rPr>
        <w:t xml:space="preserve">on-line </w:t>
      </w:r>
      <w:r w:rsidR="00172E79" w:rsidRPr="006E632D">
        <w:rPr>
          <w:color w:val="000000" w:themeColor="text1"/>
        </w:rPr>
        <w:t>Županijskoj smotri projekata iz građanskog odgoja</w:t>
      </w:r>
      <w:r w:rsidR="0096535B">
        <w:rPr>
          <w:color w:val="000000" w:themeColor="text1"/>
        </w:rPr>
        <w:t xml:space="preserve"> i</w:t>
      </w:r>
      <w:r w:rsidR="00132EB6" w:rsidRPr="006E632D">
        <w:rPr>
          <w:color w:val="000000" w:themeColor="text1"/>
        </w:rPr>
        <w:t xml:space="preserve"> </w:t>
      </w:r>
      <w:r w:rsidR="00172E79" w:rsidRPr="006E632D">
        <w:t>Državnoj smotri projekata iz građanskog odgoja u Zagrebu</w:t>
      </w:r>
      <w:r w:rsidR="0096535B">
        <w:t xml:space="preserve">. </w:t>
      </w:r>
    </w:p>
    <w:p w:rsidR="00777EA0" w:rsidRDefault="00802150" w:rsidP="00777EA0">
      <w:pPr>
        <w:widowControl w:val="0"/>
        <w:ind w:right="-51"/>
        <w:jc w:val="both"/>
        <w:rPr>
          <w:snapToGrid w:val="0"/>
          <w:lang w:val="en-GB"/>
        </w:rPr>
      </w:pPr>
      <w:r w:rsidRPr="006E632D">
        <w:tab/>
        <w:t xml:space="preserve">Škola je uključena u projekat Školska shema </w:t>
      </w:r>
      <w:r w:rsidR="00777EA0" w:rsidRPr="006E632D">
        <w:t xml:space="preserve">(projektu financiranom iz sredstava EU) </w:t>
      </w:r>
      <w:r w:rsidRPr="006E632D">
        <w:t xml:space="preserve">koji objedinjuje Shemu školskog voća i povrća i program mlijeka u školama. </w:t>
      </w:r>
      <w:proofErr w:type="spellStart"/>
      <w:r w:rsidR="00777EA0" w:rsidRPr="006E632D">
        <w:rPr>
          <w:snapToGrid w:val="0"/>
          <w:lang w:val="en-GB"/>
        </w:rPr>
        <w:t>Cilj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Školske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sheme</w:t>
      </w:r>
      <w:proofErr w:type="spellEnd"/>
      <w:r w:rsidR="00777EA0" w:rsidRPr="006E632D">
        <w:rPr>
          <w:snapToGrid w:val="0"/>
          <w:lang w:val="en-GB"/>
        </w:rPr>
        <w:t xml:space="preserve"> je </w:t>
      </w:r>
      <w:proofErr w:type="spellStart"/>
      <w:r w:rsidR="00777EA0" w:rsidRPr="006E632D">
        <w:rPr>
          <w:snapToGrid w:val="0"/>
          <w:lang w:val="en-GB"/>
        </w:rPr>
        <w:t>oblikovanje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prehrambenih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navika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djece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školske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dobi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i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povećanje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potrošnje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voća</w:t>
      </w:r>
      <w:proofErr w:type="spellEnd"/>
      <w:r w:rsidR="00777EA0" w:rsidRPr="006E632D">
        <w:rPr>
          <w:snapToGrid w:val="0"/>
          <w:lang w:val="en-GB"/>
        </w:rPr>
        <w:t xml:space="preserve">, </w:t>
      </w:r>
      <w:proofErr w:type="spellStart"/>
      <w:r w:rsidR="00777EA0" w:rsidRPr="006E632D">
        <w:rPr>
          <w:snapToGrid w:val="0"/>
          <w:lang w:val="en-GB"/>
        </w:rPr>
        <w:t>povrća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te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mlijeka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i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mliječnih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proizvoda</w:t>
      </w:r>
      <w:proofErr w:type="spellEnd"/>
      <w:r w:rsidR="00777EA0" w:rsidRPr="006E632D">
        <w:rPr>
          <w:snapToGrid w:val="0"/>
          <w:lang w:val="en-GB"/>
        </w:rPr>
        <w:t xml:space="preserve"> u </w:t>
      </w:r>
      <w:proofErr w:type="spellStart"/>
      <w:r w:rsidR="00777EA0" w:rsidRPr="006E632D">
        <w:rPr>
          <w:snapToGrid w:val="0"/>
          <w:lang w:val="en-GB"/>
        </w:rPr>
        <w:t>svakodnevnoj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prehrani</w:t>
      </w:r>
      <w:proofErr w:type="spellEnd"/>
      <w:r w:rsidR="00777EA0" w:rsidRPr="006E632D">
        <w:rPr>
          <w:snapToGrid w:val="0"/>
          <w:lang w:val="en-GB"/>
        </w:rPr>
        <w:t>.</w:t>
      </w:r>
    </w:p>
    <w:p w:rsidR="001B2D22" w:rsidRPr="006E632D" w:rsidRDefault="001B2D22" w:rsidP="00777EA0">
      <w:pPr>
        <w:widowControl w:val="0"/>
        <w:ind w:right="-51"/>
        <w:jc w:val="both"/>
        <w:rPr>
          <w:snapToGrid w:val="0"/>
          <w:lang w:val="en-GB"/>
        </w:rPr>
      </w:pPr>
      <w:r>
        <w:rPr>
          <w:snapToGrid w:val="0"/>
          <w:lang w:val="en-GB"/>
        </w:rPr>
        <w:tab/>
      </w:r>
      <w:proofErr w:type="spellStart"/>
      <w:r>
        <w:rPr>
          <w:snapToGrid w:val="0"/>
          <w:lang w:val="en-GB"/>
        </w:rPr>
        <w:t>Učenicima</w:t>
      </w:r>
      <w:proofErr w:type="spellEnd"/>
      <w:r>
        <w:rPr>
          <w:snapToGrid w:val="0"/>
          <w:lang w:val="en-GB"/>
        </w:rPr>
        <w:t xml:space="preserve"> s </w:t>
      </w:r>
      <w:proofErr w:type="spellStart"/>
      <w:r>
        <w:rPr>
          <w:snapToGrid w:val="0"/>
          <w:lang w:val="en-GB"/>
        </w:rPr>
        <w:t>teškoćama</w:t>
      </w:r>
      <w:proofErr w:type="spellEnd"/>
      <w:r>
        <w:rPr>
          <w:snapToGrid w:val="0"/>
          <w:lang w:val="en-GB"/>
        </w:rPr>
        <w:t xml:space="preserve"> u </w:t>
      </w:r>
      <w:proofErr w:type="spellStart"/>
      <w:r>
        <w:rPr>
          <w:snapToGrid w:val="0"/>
          <w:lang w:val="en-GB"/>
        </w:rPr>
        <w:t>razvoju</w:t>
      </w:r>
      <w:proofErr w:type="spellEnd"/>
      <w:r>
        <w:rPr>
          <w:snapToGrid w:val="0"/>
          <w:lang w:val="en-GB"/>
        </w:rPr>
        <w:t xml:space="preserve"> Škola je </w:t>
      </w:r>
      <w:proofErr w:type="spellStart"/>
      <w:r>
        <w:rPr>
          <w:snapToGrid w:val="0"/>
          <w:lang w:val="en-GB"/>
        </w:rPr>
        <w:t>osigurala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pomoćnike</w:t>
      </w:r>
      <w:proofErr w:type="spellEnd"/>
      <w:r>
        <w:rPr>
          <w:snapToGrid w:val="0"/>
          <w:lang w:val="en-GB"/>
        </w:rPr>
        <w:t xml:space="preserve"> u </w:t>
      </w:r>
      <w:proofErr w:type="spellStart"/>
      <w:r>
        <w:rPr>
          <w:snapToGrid w:val="0"/>
          <w:lang w:val="en-GB"/>
        </w:rPr>
        <w:t>nastavi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preko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projekta</w:t>
      </w:r>
      <w:proofErr w:type="spellEnd"/>
      <w:r>
        <w:rPr>
          <w:snapToGrid w:val="0"/>
          <w:lang w:val="en-GB"/>
        </w:rPr>
        <w:t xml:space="preserve"> </w:t>
      </w:r>
      <w:r w:rsidR="009E44A7">
        <w:rPr>
          <w:snapToGrid w:val="0"/>
          <w:lang w:val="en-GB"/>
        </w:rPr>
        <w:t>“</w:t>
      </w:r>
      <w:proofErr w:type="spellStart"/>
      <w:r>
        <w:rPr>
          <w:snapToGrid w:val="0"/>
          <w:lang w:val="en-GB"/>
        </w:rPr>
        <w:t>Prilika</w:t>
      </w:r>
      <w:proofErr w:type="spellEnd"/>
      <w:r>
        <w:rPr>
          <w:snapToGrid w:val="0"/>
          <w:lang w:val="en-GB"/>
        </w:rPr>
        <w:t xml:space="preserve"> za </w:t>
      </w:r>
      <w:proofErr w:type="spellStart"/>
      <w:r>
        <w:rPr>
          <w:snapToGrid w:val="0"/>
          <w:lang w:val="en-GB"/>
        </w:rPr>
        <w:t>sve</w:t>
      </w:r>
      <w:proofErr w:type="spellEnd"/>
      <w:r>
        <w:rPr>
          <w:snapToGrid w:val="0"/>
          <w:lang w:val="en-GB"/>
        </w:rPr>
        <w:t xml:space="preserve">” </w:t>
      </w:r>
      <w:proofErr w:type="spellStart"/>
      <w:r>
        <w:rPr>
          <w:snapToGrid w:val="0"/>
          <w:lang w:val="en-GB"/>
        </w:rPr>
        <w:t>koji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traje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već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nekoliko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godina</w:t>
      </w:r>
      <w:proofErr w:type="spellEnd"/>
      <w:r>
        <w:rPr>
          <w:snapToGrid w:val="0"/>
          <w:lang w:val="en-GB"/>
        </w:rPr>
        <w:t>.</w:t>
      </w:r>
    </w:p>
    <w:p w:rsidR="00D41EB9" w:rsidRPr="006E632D" w:rsidRDefault="00D41EB9" w:rsidP="00210663">
      <w:pPr>
        <w:jc w:val="both"/>
      </w:pPr>
      <w:r w:rsidRPr="006E632D">
        <w:tab/>
        <w:t xml:space="preserve">Od školskih projekata </w:t>
      </w:r>
      <w:r w:rsidR="00DF6A0D">
        <w:t>ističemo</w:t>
      </w:r>
      <w:r w:rsidRPr="006E632D">
        <w:t xml:space="preserve"> PROJEKT GRAĐANIN (Kam </w:t>
      </w:r>
      <w:proofErr w:type="spellStart"/>
      <w:r w:rsidRPr="006E632D">
        <w:t>neg</w:t>
      </w:r>
      <w:proofErr w:type="spellEnd"/>
      <w:r w:rsidRPr="006E632D">
        <w:t xml:space="preserve"> v Legrad, Školski botanički vrt,</w:t>
      </w:r>
      <w:r w:rsidR="00F65521">
        <w:t xml:space="preserve"> </w:t>
      </w:r>
      <w:proofErr w:type="spellStart"/>
      <w:r w:rsidRPr="006E632D">
        <w:t>Legradska</w:t>
      </w:r>
      <w:proofErr w:type="spellEnd"/>
      <w:r w:rsidRPr="006E632D">
        <w:t xml:space="preserve"> </w:t>
      </w:r>
      <w:proofErr w:type="spellStart"/>
      <w:r w:rsidRPr="006E632D">
        <w:t>hiža</w:t>
      </w:r>
      <w:proofErr w:type="spellEnd"/>
      <w:r w:rsidRPr="006E632D">
        <w:t xml:space="preserve">, Školski muzej, Soba Marije </w:t>
      </w:r>
      <w:proofErr w:type="spellStart"/>
      <w:r w:rsidRPr="006E632D">
        <w:t>Bango</w:t>
      </w:r>
      <w:proofErr w:type="spellEnd"/>
      <w:r w:rsidRPr="006E632D">
        <w:t xml:space="preserve">, Lahor kroz svijet, Narodna ljekarna, kolektivna sadnja stabala „Posadi stablo ne budi panj“, </w:t>
      </w:r>
      <w:proofErr w:type="spellStart"/>
      <w:r w:rsidR="00DF6A0D">
        <w:t>Legradski</w:t>
      </w:r>
      <w:proofErr w:type="spellEnd"/>
      <w:r w:rsidR="00DF6A0D">
        <w:t xml:space="preserve"> </w:t>
      </w:r>
      <w:proofErr w:type="spellStart"/>
      <w:r w:rsidR="00DF6A0D">
        <w:t>oblizeki</w:t>
      </w:r>
      <w:proofErr w:type="spellEnd"/>
      <w:r w:rsidR="00A60B28">
        <w:t>, Vodič kroz Legrad</w:t>
      </w:r>
      <w:r w:rsidR="00DF6A0D">
        <w:t xml:space="preserve">), </w:t>
      </w:r>
      <w:r w:rsidRPr="006E632D">
        <w:t xml:space="preserve"> ENO </w:t>
      </w:r>
      <w:proofErr w:type="spellStart"/>
      <w:r w:rsidRPr="006E632D">
        <w:t>Tree</w:t>
      </w:r>
      <w:proofErr w:type="spellEnd"/>
      <w:r w:rsidRPr="006E632D">
        <w:t xml:space="preserve"> </w:t>
      </w:r>
      <w:proofErr w:type="spellStart"/>
      <w:r w:rsidRPr="006E632D">
        <w:t>Planting</w:t>
      </w:r>
      <w:proofErr w:type="spellEnd"/>
      <w:r w:rsidRPr="006E632D">
        <w:t xml:space="preserve"> </w:t>
      </w:r>
      <w:proofErr w:type="spellStart"/>
      <w:r w:rsidRPr="006E632D">
        <w:t>Day</w:t>
      </w:r>
      <w:proofErr w:type="spellEnd"/>
      <w:r w:rsidRPr="006E632D">
        <w:t xml:space="preserve">, </w:t>
      </w:r>
      <w:r w:rsidR="00DF6A0D">
        <w:t xml:space="preserve">Dabrov </w:t>
      </w:r>
      <w:proofErr w:type="spellStart"/>
      <w:r w:rsidR="00DF6A0D">
        <w:t>pot</w:t>
      </w:r>
      <w:proofErr w:type="spellEnd"/>
      <w:r w:rsidR="00DF6A0D">
        <w:t xml:space="preserve">, Šafran, </w:t>
      </w:r>
      <w:r w:rsidRPr="006E632D">
        <w:t>školske preventivne programe: Otvoreni kišobran, Zdrav za 5, Kodovi sigurnosti na vodi</w:t>
      </w:r>
      <w:r w:rsidR="00EB270F">
        <w:t xml:space="preserve"> i</w:t>
      </w:r>
      <w:r w:rsidRPr="006E632D">
        <w:t xml:space="preserve"> </w:t>
      </w:r>
      <w:r w:rsidR="00DF6A0D">
        <w:t>Teen</w:t>
      </w:r>
      <w:r w:rsidRPr="006E632D">
        <w:t xml:space="preserve"> CAP program prevencije zlostavljanja djece</w:t>
      </w:r>
      <w:r w:rsidR="00EB270F">
        <w:t>.</w:t>
      </w:r>
    </w:p>
    <w:p w:rsidR="00D41EB9" w:rsidRPr="006E632D" w:rsidRDefault="00D41EB9" w:rsidP="00210663">
      <w:pPr>
        <w:jc w:val="both"/>
      </w:pPr>
      <w:r w:rsidRPr="006E632D">
        <w:tab/>
        <w:t xml:space="preserve">Bili smo </w:t>
      </w:r>
      <w:r w:rsidR="00006F14">
        <w:t xml:space="preserve">uspješni </w:t>
      </w:r>
      <w:r w:rsidRPr="006E632D">
        <w:t>u D</w:t>
      </w:r>
      <w:r w:rsidR="009C4456" w:rsidRPr="006E632D">
        <w:t>S SMITH UNIJAPAPIR</w:t>
      </w:r>
      <w:r w:rsidRPr="006E632D">
        <w:t xml:space="preserve"> akciji sakupljanja starog papira i osvojili vrijedne nagrade.</w:t>
      </w:r>
    </w:p>
    <w:p w:rsidR="00210663" w:rsidRPr="006E632D" w:rsidRDefault="00210663" w:rsidP="00210663">
      <w:pPr>
        <w:jc w:val="both"/>
      </w:pPr>
      <w:r w:rsidRPr="006E632D">
        <w:tab/>
        <w:t>Zaposlenici su se stručno usavršavali na stručnim aktivima i seminarima</w:t>
      </w:r>
      <w:r w:rsidR="005338B6" w:rsidRPr="006E632D">
        <w:t>, kroz županijska stručna vijeća (ŽSV), regionalne i državne skupove</w:t>
      </w:r>
      <w:r w:rsidRPr="006E632D">
        <w:t>.</w:t>
      </w:r>
    </w:p>
    <w:p w:rsidR="00210663" w:rsidRPr="006E632D" w:rsidRDefault="00210663" w:rsidP="00210663">
      <w:pPr>
        <w:jc w:val="both"/>
      </w:pPr>
    </w:p>
    <w:p w:rsidR="00210663" w:rsidRPr="006E632D" w:rsidRDefault="00210663" w:rsidP="00210663">
      <w:pPr>
        <w:jc w:val="both"/>
      </w:pPr>
    </w:p>
    <w:p w:rsidR="00134E26" w:rsidRPr="006902A8" w:rsidRDefault="00006F14" w:rsidP="00210663">
      <w:pPr>
        <w:jc w:val="both"/>
        <w:rPr>
          <w:sz w:val="22"/>
          <w:szCs w:val="22"/>
        </w:rPr>
      </w:pPr>
      <w:r>
        <w:rPr>
          <w:sz w:val="22"/>
          <w:szCs w:val="22"/>
        </w:rPr>
        <w:t>VODITELJ RAČUNOVODSTVA</w:t>
      </w:r>
      <w:r w:rsidR="006902A8" w:rsidRPr="006902A8">
        <w:rPr>
          <w:sz w:val="22"/>
          <w:szCs w:val="22"/>
        </w:rPr>
        <w:t>:</w:t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9732BC" w:rsidRPr="006902A8">
        <w:rPr>
          <w:sz w:val="22"/>
          <w:szCs w:val="22"/>
        </w:rPr>
        <w:t xml:space="preserve"> </w:t>
      </w:r>
      <w:r w:rsidR="00134E26" w:rsidRPr="006902A8">
        <w:rPr>
          <w:sz w:val="22"/>
          <w:szCs w:val="22"/>
        </w:rPr>
        <w:t>RAVNATELJ</w:t>
      </w:r>
      <w:r>
        <w:rPr>
          <w:sz w:val="22"/>
          <w:szCs w:val="22"/>
        </w:rPr>
        <w:t>ICA</w:t>
      </w:r>
      <w:r w:rsidR="00134E26" w:rsidRPr="006902A8">
        <w:rPr>
          <w:sz w:val="22"/>
          <w:szCs w:val="22"/>
        </w:rPr>
        <w:t>:</w:t>
      </w:r>
    </w:p>
    <w:p w:rsidR="00134E26" w:rsidRPr="006902A8" w:rsidRDefault="00006F14" w:rsidP="00006F1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902A8" w:rsidRPr="006902A8">
        <w:rPr>
          <w:sz w:val="22"/>
          <w:szCs w:val="22"/>
        </w:rPr>
        <w:t xml:space="preserve">Marta </w:t>
      </w:r>
      <w:proofErr w:type="spellStart"/>
      <w:r w:rsidR="006902A8" w:rsidRPr="006902A8">
        <w:rPr>
          <w:sz w:val="22"/>
          <w:szCs w:val="22"/>
        </w:rPr>
        <w:t>Nestić</w:t>
      </w:r>
      <w:proofErr w:type="spellEnd"/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87091">
        <w:rPr>
          <w:sz w:val="22"/>
          <w:szCs w:val="22"/>
        </w:rPr>
        <w:t>Tamara</w:t>
      </w:r>
      <w:r w:rsidR="00134E26" w:rsidRPr="006902A8">
        <w:rPr>
          <w:sz w:val="22"/>
          <w:szCs w:val="22"/>
        </w:rPr>
        <w:t xml:space="preserve"> Marcinjaš, </w:t>
      </w:r>
      <w:proofErr w:type="spellStart"/>
      <w:r w:rsidR="009732BC" w:rsidRPr="006902A8">
        <w:rPr>
          <w:sz w:val="22"/>
          <w:szCs w:val="22"/>
        </w:rPr>
        <w:t>mag</w:t>
      </w:r>
      <w:proofErr w:type="spellEnd"/>
      <w:r w:rsidR="009732BC" w:rsidRPr="006902A8">
        <w:rPr>
          <w:sz w:val="22"/>
          <w:szCs w:val="22"/>
        </w:rPr>
        <w:t xml:space="preserve">. prim. </w:t>
      </w:r>
      <w:proofErr w:type="spellStart"/>
      <w:r w:rsidR="009732BC" w:rsidRPr="006902A8">
        <w:rPr>
          <w:sz w:val="22"/>
          <w:szCs w:val="22"/>
        </w:rPr>
        <w:t>educ</w:t>
      </w:r>
      <w:proofErr w:type="spellEnd"/>
      <w:r w:rsidR="009732BC" w:rsidRPr="006902A8">
        <w:rPr>
          <w:sz w:val="22"/>
          <w:szCs w:val="22"/>
        </w:rPr>
        <w:t>.</w:t>
      </w:r>
    </w:p>
    <w:p w:rsidR="006E632D" w:rsidRDefault="006E632D">
      <w:pPr>
        <w:jc w:val="both"/>
        <w:rPr>
          <w:rFonts w:ascii="Arial" w:hAnsi="Arial" w:cs="Arial"/>
          <w:sz w:val="22"/>
          <w:szCs w:val="22"/>
        </w:rPr>
      </w:pPr>
    </w:p>
    <w:p w:rsidR="006902A8" w:rsidRDefault="006902A8">
      <w:pPr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6902A8" w:rsidSect="006E632D">
      <w:footerReference w:type="default" r:id="rId9"/>
      <w:pgSz w:w="11906" w:h="16838"/>
      <w:pgMar w:top="1079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37" w:rsidRDefault="00A21937" w:rsidP="00A82C27">
      <w:r>
        <w:separator/>
      </w:r>
    </w:p>
  </w:endnote>
  <w:endnote w:type="continuationSeparator" w:id="0">
    <w:p w:rsidR="00A21937" w:rsidRDefault="00A21937" w:rsidP="00A8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0654"/>
      <w:docPartObj>
        <w:docPartGallery w:val="Page Numbers (Bottom of Page)"/>
        <w:docPartUnique/>
      </w:docPartObj>
    </w:sdtPr>
    <w:sdtEndPr/>
    <w:sdtContent>
      <w:p w:rsidR="00802150" w:rsidRDefault="006746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2150" w:rsidRDefault="008021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37" w:rsidRDefault="00A21937" w:rsidP="00A82C27">
      <w:r>
        <w:separator/>
      </w:r>
    </w:p>
  </w:footnote>
  <w:footnote w:type="continuationSeparator" w:id="0">
    <w:p w:rsidR="00A21937" w:rsidRDefault="00A21937" w:rsidP="00A8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43436"/>
    <w:multiLevelType w:val="hybridMultilevel"/>
    <w:tmpl w:val="386272EE"/>
    <w:lvl w:ilvl="0" w:tplc="560436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206020"/>
    <w:multiLevelType w:val="hybridMultilevel"/>
    <w:tmpl w:val="82687604"/>
    <w:lvl w:ilvl="0" w:tplc="85E05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19A2"/>
    <w:multiLevelType w:val="hybridMultilevel"/>
    <w:tmpl w:val="AFA0F890"/>
    <w:lvl w:ilvl="0" w:tplc="D17C0B5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CE"/>
    <w:rsid w:val="00006F14"/>
    <w:rsid w:val="000120A0"/>
    <w:rsid w:val="00015DF1"/>
    <w:rsid w:val="00027525"/>
    <w:rsid w:val="00027FA5"/>
    <w:rsid w:val="00034815"/>
    <w:rsid w:val="00034DB6"/>
    <w:rsid w:val="000511B8"/>
    <w:rsid w:val="00053655"/>
    <w:rsid w:val="0005644E"/>
    <w:rsid w:val="00070247"/>
    <w:rsid w:val="000767FA"/>
    <w:rsid w:val="00077EAF"/>
    <w:rsid w:val="00094CA9"/>
    <w:rsid w:val="00096E6C"/>
    <w:rsid w:val="000A12FB"/>
    <w:rsid w:val="000A27D1"/>
    <w:rsid w:val="000D288C"/>
    <w:rsid w:val="000D5642"/>
    <w:rsid w:val="000E7BE5"/>
    <w:rsid w:val="000F71CB"/>
    <w:rsid w:val="00110394"/>
    <w:rsid w:val="0011236A"/>
    <w:rsid w:val="001165B6"/>
    <w:rsid w:val="0012083E"/>
    <w:rsid w:val="00124E4F"/>
    <w:rsid w:val="0013065E"/>
    <w:rsid w:val="00132EB6"/>
    <w:rsid w:val="00134E26"/>
    <w:rsid w:val="00136FF7"/>
    <w:rsid w:val="001422F8"/>
    <w:rsid w:val="00144D09"/>
    <w:rsid w:val="00161BF5"/>
    <w:rsid w:val="00163340"/>
    <w:rsid w:val="00165407"/>
    <w:rsid w:val="00172E79"/>
    <w:rsid w:val="00176C72"/>
    <w:rsid w:val="00187091"/>
    <w:rsid w:val="001B2D22"/>
    <w:rsid w:val="001D7A19"/>
    <w:rsid w:val="001E1FD9"/>
    <w:rsid w:val="001E2237"/>
    <w:rsid w:val="001E71FD"/>
    <w:rsid w:val="00200C1D"/>
    <w:rsid w:val="00210663"/>
    <w:rsid w:val="00215A07"/>
    <w:rsid w:val="00250332"/>
    <w:rsid w:val="00262F7A"/>
    <w:rsid w:val="0026439B"/>
    <w:rsid w:val="002A4BA2"/>
    <w:rsid w:val="002C2D04"/>
    <w:rsid w:val="002E34A6"/>
    <w:rsid w:val="002F67C7"/>
    <w:rsid w:val="003125CD"/>
    <w:rsid w:val="003160F3"/>
    <w:rsid w:val="00325563"/>
    <w:rsid w:val="003273F1"/>
    <w:rsid w:val="00333CFD"/>
    <w:rsid w:val="003367D7"/>
    <w:rsid w:val="00360265"/>
    <w:rsid w:val="003758D3"/>
    <w:rsid w:val="003762DD"/>
    <w:rsid w:val="00391140"/>
    <w:rsid w:val="003976EA"/>
    <w:rsid w:val="003A3866"/>
    <w:rsid w:val="003B533D"/>
    <w:rsid w:val="00402F43"/>
    <w:rsid w:val="004039EE"/>
    <w:rsid w:val="00413D53"/>
    <w:rsid w:val="004157CD"/>
    <w:rsid w:val="0041725E"/>
    <w:rsid w:val="0043542E"/>
    <w:rsid w:val="00435B0D"/>
    <w:rsid w:val="00436AF2"/>
    <w:rsid w:val="00445D9F"/>
    <w:rsid w:val="00447EAB"/>
    <w:rsid w:val="004667A8"/>
    <w:rsid w:val="0047151D"/>
    <w:rsid w:val="004731B2"/>
    <w:rsid w:val="00490ABA"/>
    <w:rsid w:val="004A1194"/>
    <w:rsid w:val="004C60A1"/>
    <w:rsid w:val="004D229A"/>
    <w:rsid w:val="004E0D70"/>
    <w:rsid w:val="004E13F5"/>
    <w:rsid w:val="004F601F"/>
    <w:rsid w:val="004F7DFF"/>
    <w:rsid w:val="00505C88"/>
    <w:rsid w:val="00510118"/>
    <w:rsid w:val="00510911"/>
    <w:rsid w:val="005243CD"/>
    <w:rsid w:val="005338B6"/>
    <w:rsid w:val="00542EDA"/>
    <w:rsid w:val="00544BA4"/>
    <w:rsid w:val="00545350"/>
    <w:rsid w:val="005518B0"/>
    <w:rsid w:val="00562481"/>
    <w:rsid w:val="005650D9"/>
    <w:rsid w:val="00566126"/>
    <w:rsid w:val="00575002"/>
    <w:rsid w:val="0058295D"/>
    <w:rsid w:val="00592AC5"/>
    <w:rsid w:val="005A4FEF"/>
    <w:rsid w:val="005A6E4A"/>
    <w:rsid w:val="005B0582"/>
    <w:rsid w:val="005B47DD"/>
    <w:rsid w:val="005B6FA3"/>
    <w:rsid w:val="005D65B1"/>
    <w:rsid w:val="005E27C3"/>
    <w:rsid w:val="005F7A5C"/>
    <w:rsid w:val="00605586"/>
    <w:rsid w:val="006108B1"/>
    <w:rsid w:val="0062344C"/>
    <w:rsid w:val="00623839"/>
    <w:rsid w:val="0063637D"/>
    <w:rsid w:val="006532A5"/>
    <w:rsid w:val="00653D56"/>
    <w:rsid w:val="00654644"/>
    <w:rsid w:val="00674612"/>
    <w:rsid w:val="0067589B"/>
    <w:rsid w:val="00680A8D"/>
    <w:rsid w:val="00680CDE"/>
    <w:rsid w:val="00682511"/>
    <w:rsid w:val="006902A8"/>
    <w:rsid w:val="006A05FA"/>
    <w:rsid w:val="006A63F8"/>
    <w:rsid w:val="006A6FE4"/>
    <w:rsid w:val="006B0793"/>
    <w:rsid w:val="006B3F10"/>
    <w:rsid w:val="006C1DAF"/>
    <w:rsid w:val="006D2047"/>
    <w:rsid w:val="006E632D"/>
    <w:rsid w:val="006E6A1E"/>
    <w:rsid w:val="007175C0"/>
    <w:rsid w:val="007235D9"/>
    <w:rsid w:val="00724AE2"/>
    <w:rsid w:val="007364A5"/>
    <w:rsid w:val="00743D6A"/>
    <w:rsid w:val="007517BE"/>
    <w:rsid w:val="00761C76"/>
    <w:rsid w:val="007622A6"/>
    <w:rsid w:val="00777496"/>
    <w:rsid w:val="00777EA0"/>
    <w:rsid w:val="00795A76"/>
    <w:rsid w:val="007A483B"/>
    <w:rsid w:val="007C39E0"/>
    <w:rsid w:val="007D0352"/>
    <w:rsid w:val="007E0603"/>
    <w:rsid w:val="007F5BF4"/>
    <w:rsid w:val="00802150"/>
    <w:rsid w:val="00815713"/>
    <w:rsid w:val="00817766"/>
    <w:rsid w:val="0082422A"/>
    <w:rsid w:val="00827D14"/>
    <w:rsid w:val="008312A6"/>
    <w:rsid w:val="00836652"/>
    <w:rsid w:val="008471C1"/>
    <w:rsid w:val="00867BFA"/>
    <w:rsid w:val="00885BC5"/>
    <w:rsid w:val="00894025"/>
    <w:rsid w:val="008A1D5A"/>
    <w:rsid w:val="008C0515"/>
    <w:rsid w:val="008C314E"/>
    <w:rsid w:val="008D4062"/>
    <w:rsid w:val="008D66EF"/>
    <w:rsid w:val="008D7EE4"/>
    <w:rsid w:val="00900334"/>
    <w:rsid w:val="00905A31"/>
    <w:rsid w:val="009206F6"/>
    <w:rsid w:val="00921825"/>
    <w:rsid w:val="00945FF0"/>
    <w:rsid w:val="00947E15"/>
    <w:rsid w:val="00961DD6"/>
    <w:rsid w:val="0096535B"/>
    <w:rsid w:val="0097246E"/>
    <w:rsid w:val="009732BC"/>
    <w:rsid w:val="009817D8"/>
    <w:rsid w:val="009B6C91"/>
    <w:rsid w:val="009C4456"/>
    <w:rsid w:val="009D0BFC"/>
    <w:rsid w:val="009D1DD6"/>
    <w:rsid w:val="009E3B39"/>
    <w:rsid w:val="009E44A7"/>
    <w:rsid w:val="009F3AF5"/>
    <w:rsid w:val="009F3EB6"/>
    <w:rsid w:val="009F5F70"/>
    <w:rsid w:val="00A0185F"/>
    <w:rsid w:val="00A02A46"/>
    <w:rsid w:val="00A21666"/>
    <w:rsid w:val="00A21937"/>
    <w:rsid w:val="00A25384"/>
    <w:rsid w:val="00A26FDE"/>
    <w:rsid w:val="00A40999"/>
    <w:rsid w:val="00A41BA2"/>
    <w:rsid w:val="00A45B9C"/>
    <w:rsid w:val="00A60B28"/>
    <w:rsid w:val="00A62938"/>
    <w:rsid w:val="00A72801"/>
    <w:rsid w:val="00A77263"/>
    <w:rsid w:val="00A77DEC"/>
    <w:rsid w:val="00A82C27"/>
    <w:rsid w:val="00A85552"/>
    <w:rsid w:val="00A96282"/>
    <w:rsid w:val="00AB34B5"/>
    <w:rsid w:val="00AB5915"/>
    <w:rsid w:val="00AC0F9A"/>
    <w:rsid w:val="00AD4C02"/>
    <w:rsid w:val="00AE28A7"/>
    <w:rsid w:val="00AF5972"/>
    <w:rsid w:val="00B07C03"/>
    <w:rsid w:val="00B17599"/>
    <w:rsid w:val="00B30B6B"/>
    <w:rsid w:val="00B772CE"/>
    <w:rsid w:val="00B81BDD"/>
    <w:rsid w:val="00B83401"/>
    <w:rsid w:val="00B85DA6"/>
    <w:rsid w:val="00B974AA"/>
    <w:rsid w:val="00BB2B61"/>
    <w:rsid w:val="00BF1B57"/>
    <w:rsid w:val="00C11337"/>
    <w:rsid w:val="00C16D62"/>
    <w:rsid w:val="00C174A9"/>
    <w:rsid w:val="00C233E3"/>
    <w:rsid w:val="00C37BE2"/>
    <w:rsid w:val="00C62CF9"/>
    <w:rsid w:val="00C6561C"/>
    <w:rsid w:val="00C66C86"/>
    <w:rsid w:val="00C73ABE"/>
    <w:rsid w:val="00C84D88"/>
    <w:rsid w:val="00C85151"/>
    <w:rsid w:val="00C8616F"/>
    <w:rsid w:val="00C878A8"/>
    <w:rsid w:val="00C911F7"/>
    <w:rsid w:val="00CB4282"/>
    <w:rsid w:val="00CB51E0"/>
    <w:rsid w:val="00CB5A09"/>
    <w:rsid w:val="00CC4173"/>
    <w:rsid w:val="00CC4A96"/>
    <w:rsid w:val="00CE7DF8"/>
    <w:rsid w:val="00D23CA2"/>
    <w:rsid w:val="00D32C35"/>
    <w:rsid w:val="00D41EB9"/>
    <w:rsid w:val="00D53A90"/>
    <w:rsid w:val="00D70533"/>
    <w:rsid w:val="00D81A8D"/>
    <w:rsid w:val="00D838F7"/>
    <w:rsid w:val="00D83D4B"/>
    <w:rsid w:val="00D9161F"/>
    <w:rsid w:val="00DA25D9"/>
    <w:rsid w:val="00DA6914"/>
    <w:rsid w:val="00DB1C02"/>
    <w:rsid w:val="00DB42A8"/>
    <w:rsid w:val="00DB768F"/>
    <w:rsid w:val="00DE0A8B"/>
    <w:rsid w:val="00DE5D57"/>
    <w:rsid w:val="00DF34CD"/>
    <w:rsid w:val="00DF3C49"/>
    <w:rsid w:val="00DF6A0D"/>
    <w:rsid w:val="00E055B5"/>
    <w:rsid w:val="00E056FD"/>
    <w:rsid w:val="00E151BD"/>
    <w:rsid w:val="00E24949"/>
    <w:rsid w:val="00E310D4"/>
    <w:rsid w:val="00E33696"/>
    <w:rsid w:val="00E357FE"/>
    <w:rsid w:val="00E44708"/>
    <w:rsid w:val="00E5039A"/>
    <w:rsid w:val="00E601E2"/>
    <w:rsid w:val="00E67053"/>
    <w:rsid w:val="00E83851"/>
    <w:rsid w:val="00EB270F"/>
    <w:rsid w:val="00ED27CF"/>
    <w:rsid w:val="00ED3CF2"/>
    <w:rsid w:val="00EE1764"/>
    <w:rsid w:val="00EE739E"/>
    <w:rsid w:val="00F0506D"/>
    <w:rsid w:val="00F128F5"/>
    <w:rsid w:val="00F21C31"/>
    <w:rsid w:val="00F25FC1"/>
    <w:rsid w:val="00F369C8"/>
    <w:rsid w:val="00F378E5"/>
    <w:rsid w:val="00F51E27"/>
    <w:rsid w:val="00F65521"/>
    <w:rsid w:val="00F706CD"/>
    <w:rsid w:val="00F81B42"/>
    <w:rsid w:val="00F90981"/>
    <w:rsid w:val="00FA6911"/>
    <w:rsid w:val="00FC1CAB"/>
    <w:rsid w:val="00FC6FA8"/>
    <w:rsid w:val="00FD5AD2"/>
    <w:rsid w:val="00FE15CE"/>
    <w:rsid w:val="00FE1606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A7693"/>
  <w15:docId w15:val="{498A736F-8D12-4A7A-8DA2-26AA413B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22A6"/>
    <w:rPr>
      <w:sz w:val="24"/>
      <w:szCs w:val="24"/>
    </w:rPr>
  </w:style>
  <w:style w:type="paragraph" w:styleId="Naslov1">
    <w:name w:val="heading 1"/>
    <w:basedOn w:val="Normal"/>
    <w:next w:val="Normal"/>
    <w:qFormat/>
    <w:rsid w:val="007622A6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622A6"/>
    <w:pPr>
      <w:jc w:val="both"/>
    </w:pPr>
    <w:rPr>
      <w:rFonts w:ascii="Arial" w:hAnsi="Arial" w:cs="Arial"/>
    </w:rPr>
  </w:style>
  <w:style w:type="character" w:styleId="Hiperveza">
    <w:name w:val="Hyperlink"/>
    <w:basedOn w:val="Zadanifontodlomka"/>
    <w:rsid w:val="006B0793"/>
    <w:rPr>
      <w:color w:val="0000FF"/>
      <w:u w:val="single"/>
    </w:rPr>
  </w:style>
  <w:style w:type="paragraph" w:styleId="Tekstbalonia">
    <w:name w:val="Balloon Text"/>
    <w:basedOn w:val="Normal"/>
    <w:semiHidden/>
    <w:rsid w:val="006B079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79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82C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82C27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A82C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2C2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C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legrad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66768-5390-46B6-B998-418FC371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8475</CharactersWithSpaces>
  <SharedDoc>false</SharedDoc>
  <HLinks>
    <vt:vector size="6" baseType="variant"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Mirjana</dc:creator>
  <cp:lastModifiedBy>mirjana</cp:lastModifiedBy>
  <cp:revision>3</cp:revision>
  <cp:lastPrinted>2024-11-12T12:08:00Z</cp:lastPrinted>
  <dcterms:created xsi:type="dcterms:W3CDTF">2024-12-16T11:59:00Z</dcterms:created>
  <dcterms:modified xsi:type="dcterms:W3CDTF">2024-12-16T13:03:00Z</dcterms:modified>
</cp:coreProperties>
</file>